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86D" w:rsidRDefault="007B18FB" w:rsidP="007B18FB">
      <w:pPr>
        <w:jc w:val="center"/>
        <w:rPr>
          <w:b/>
          <w:sz w:val="40"/>
          <w:u w:val="single"/>
        </w:rPr>
      </w:pPr>
      <w:r w:rsidRPr="007B18FB">
        <w:rPr>
          <w:b/>
          <w:sz w:val="40"/>
          <w:u w:val="single"/>
        </w:rPr>
        <w:t>Clasificaciones Hepatobiliar</w:t>
      </w:r>
    </w:p>
    <w:p w:rsidR="00F46BB9" w:rsidRDefault="00F46BB9" w:rsidP="007B18FB">
      <w:pPr>
        <w:jc w:val="center"/>
        <w:rPr>
          <w:b/>
          <w:sz w:val="40"/>
          <w:u w:val="single"/>
        </w:rPr>
      </w:pPr>
    </w:p>
    <w:p w:rsidR="00F46BB9" w:rsidRPr="007B18FB" w:rsidRDefault="00F46BB9" w:rsidP="007B18FB">
      <w:pPr>
        <w:jc w:val="center"/>
        <w:rPr>
          <w:b/>
          <w:sz w:val="40"/>
          <w:u w:val="single"/>
        </w:rPr>
      </w:pPr>
    </w:p>
    <w:p w:rsidR="00FA7582" w:rsidRDefault="007B18FB" w:rsidP="00F46BB9">
      <w:pPr>
        <w:pStyle w:val="Prrafodelista"/>
        <w:numPr>
          <w:ilvl w:val="0"/>
          <w:numId w:val="1"/>
        </w:numPr>
      </w:pPr>
      <w:r>
        <w:t xml:space="preserve">Clasificación Todani </w:t>
      </w:r>
    </w:p>
    <w:p w:rsidR="007B18FB" w:rsidRDefault="007B18FB" w:rsidP="00FA7582">
      <w:pPr>
        <w:ind w:left="360"/>
      </w:pPr>
      <w:r>
        <w:t>Dilataciones congénitas de la vía biliar</w:t>
      </w:r>
      <w:r w:rsidR="00FA7582">
        <w:t>.</w:t>
      </w:r>
    </w:p>
    <w:p w:rsidR="007B18FB" w:rsidRDefault="007B18FB"/>
    <w:p w:rsidR="007B18FB" w:rsidRDefault="007B18FB">
      <w:r>
        <w:rPr>
          <w:noProof/>
          <w:lang w:eastAsia="es-ES"/>
        </w:rPr>
        <w:drawing>
          <wp:inline distT="0" distB="0" distL="0" distR="0">
            <wp:extent cx="5095875" cy="26384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5397" t="15047" r="25926" b="14420"/>
                    <a:stretch>
                      <a:fillRect/>
                    </a:stretch>
                  </pic:blipFill>
                  <pic:spPr bwMode="auto">
                    <a:xfrm>
                      <a:off x="0" y="0"/>
                      <a:ext cx="5095875" cy="2638425"/>
                    </a:xfrm>
                    <a:prstGeom prst="rect">
                      <a:avLst/>
                    </a:prstGeom>
                    <a:noFill/>
                    <a:ln w="9525">
                      <a:noFill/>
                      <a:miter lim="800000"/>
                      <a:headEnd/>
                      <a:tailEnd/>
                    </a:ln>
                  </pic:spPr>
                </pic:pic>
              </a:graphicData>
            </a:graphic>
          </wp:inline>
        </w:drawing>
      </w:r>
    </w:p>
    <w:p w:rsidR="007B18FB" w:rsidRDefault="007B18FB" w:rsidP="007B18FB"/>
    <w:p w:rsidR="007B18FB" w:rsidRDefault="007B18FB" w:rsidP="007B18FB">
      <w:pPr>
        <w:jc w:val="center"/>
      </w:pPr>
      <w:r>
        <w:t>La clasificación más utilizada es la de Todani, distingue 5 tipos</w:t>
      </w:r>
      <w:r w:rsidR="00FD712D">
        <w:t>:</w:t>
      </w:r>
    </w:p>
    <w:p w:rsidR="007B18FB" w:rsidRDefault="007B18FB" w:rsidP="007B18FB">
      <w:r>
        <w:t>-Tipo I: Dilatación de la vía biliar extrahepática.</w:t>
      </w:r>
    </w:p>
    <w:p w:rsidR="007B18FB" w:rsidRDefault="007B18FB" w:rsidP="007B18FB">
      <w:r>
        <w:t>-  Subtipo Ia, si la dilatación es sacciforme y afecta a todo o a casi todo el hepatocolédoco</w:t>
      </w:r>
    </w:p>
    <w:p w:rsidR="007B18FB" w:rsidRDefault="007B18FB" w:rsidP="007B18FB">
      <w:r>
        <w:t>-  Subtipo Ib, cuando la dilatación es sacciforme, pero afecta a una parte del hepatocolédoco</w:t>
      </w:r>
    </w:p>
    <w:p w:rsidR="007B18FB" w:rsidRDefault="007B18FB" w:rsidP="007B18FB">
      <w:r>
        <w:t>- Subtipo Ic, si hay dilatación fusiforme de todo el conducto</w:t>
      </w:r>
    </w:p>
    <w:p w:rsidR="007B18FB" w:rsidRDefault="007B18FB" w:rsidP="007B18FB">
      <w:r>
        <w:t>- Tipo II: Dilatación sacciforme lateral de la vía biliar, con pedículo corto y estrecho</w:t>
      </w:r>
    </w:p>
    <w:p w:rsidR="007B18FB" w:rsidRDefault="007B18FB" w:rsidP="007B18FB">
      <w:r>
        <w:t>- Tipo III: Dilatación aislada de la porción terminal del colédoco en la ampolla de Vater</w:t>
      </w:r>
    </w:p>
    <w:p w:rsidR="00FD712D" w:rsidRDefault="007B18FB" w:rsidP="007B18FB">
      <w:r>
        <w:t xml:space="preserve">- Tipo IV: </w:t>
      </w:r>
      <w:r w:rsidR="00FD712D">
        <w:t>Presencia simultánea de varias dilataciones</w:t>
      </w:r>
    </w:p>
    <w:p w:rsidR="00FD712D" w:rsidRDefault="00FD712D" w:rsidP="007B18FB">
      <w:r>
        <w:t xml:space="preserve">- </w:t>
      </w:r>
      <w:r w:rsidR="007B18FB">
        <w:t xml:space="preserve"> </w:t>
      </w:r>
      <w:r>
        <w:t>Subtipo IVa:</w:t>
      </w:r>
      <w:r w:rsidR="007B18FB">
        <w:t xml:space="preserve"> </w:t>
      </w:r>
      <w:r>
        <w:t>C</w:t>
      </w:r>
      <w:r w:rsidR="007B18FB">
        <w:t>uan</w:t>
      </w:r>
      <w:r>
        <w:t>do asocia dilataciones de la vía biliar intrahepática y extrahepá</w:t>
      </w:r>
      <w:r w:rsidR="007B18FB">
        <w:t>tica</w:t>
      </w:r>
    </w:p>
    <w:p w:rsidR="00FD712D" w:rsidRDefault="00FD712D" w:rsidP="007B18FB">
      <w:r>
        <w:t>- Subtipo IVb: Si asocia dilatación de la ví</w:t>
      </w:r>
      <w:r w:rsidR="007B18FB">
        <w:t xml:space="preserve">a </w:t>
      </w:r>
      <w:r>
        <w:t>biliar principal y de la porción terminal del colédoco</w:t>
      </w:r>
      <w:r w:rsidR="007B18FB">
        <w:t xml:space="preserve"> </w:t>
      </w:r>
      <w:r>
        <w:t xml:space="preserve"> </w:t>
      </w:r>
    </w:p>
    <w:p w:rsidR="007B18FB" w:rsidRDefault="00FD712D" w:rsidP="007B18FB">
      <w:r>
        <w:t>- T</w:t>
      </w:r>
      <w:r w:rsidR="007B18FB">
        <w:t>ipo V</w:t>
      </w:r>
      <w:r>
        <w:t>:</w:t>
      </w:r>
      <w:r w:rsidR="007B18FB">
        <w:t xml:space="preserve"> </w:t>
      </w:r>
      <w:r>
        <w:t>Dilataciones de la vía biliar intrahepá</w:t>
      </w:r>
      <w:r w:rsidR="007B18FB">
        <w:t>tica y se correspo</w:t>
      </w:r>
      <w:r>
        <w:t>nde con la enfermedad de Caroli</w:t>
      </w:r>
    </w:p>
    <w:p w:rsidR="00FD712D" w:rsidRDefault="00FD712D" w:rsidP="007B18FB"/>
    <w:p w:rsidR="00FD712D" w:rsidRDefault="00FD712D" w:rsidP="007B18FB">
      <w:pPr>
        <w:rPr>
          <w:b/>
        </w:rPr>
      </w:pPr>
      <w:r w:rsidRPr="00FD712D">
        <w:rPr>
          <w:b/>
        </w:rPr>
        <w:t xml:space="preserve">Fuente: Dilataciones congénitas de la vía biliar. Elías Domínguez-Comesaña. </w:t>
      </w:r>
      <w:r>
        <w:rPr>
          <w:b/>
        </w:rPr>
        <w:t>CIR ESP. 2010; 88(5)</w:t>
      </w:r>
      <w:r w:rsidRPr="00FD712D">
        <w:rPr>
          <w:b/>
        </w:rPr>
        <w:t>:285–291</w:t>
      </w:r>
    </w:p>
    <w:p w:rsidR="00FD712D" w:rsidRDefault="00FD712D" w:rsidP="007B18FB">
      <w:pPr>
        <w:rPr>
          <w:b/>
        </w:rPr>
      </w:pPr>
    </w:p>
    <w:p w:rsidR="00FD712D" w:rsidRDefault="00FD712D" w:rsidP="007B18FB">
      <w:pPr>
        <w:rPr>
          <w:b/>
        </w:rPr>
      </w:pPr>
    </w:p>
    <w:p w:rsidR="00F46BB9" w:rsidRDefault="00F46BB9" w:rsidP="007B18FB">
      <w:pPr>
        <w:rPr>
          <w:b/>
        </w:rPr>
      </w:pPr>
    </w:p>
    <w:p w:rsidR="00F46BB9" w:rsidRDefault="00F46BB9" w:rsidP="007B18FB">
      <w:pPr>
        <w:rPr>
          <w:b/>
        </w:rPr>
      </w:pPr>
    </w:p>
    <w:p w:rsidR="00F46BB9" w:rsidRDefault="00F46BB9" w:rsidP="007B18FB">
      <w:pPr>
        <w:rPr>
          <w:b/>
        </w:rPr>
      </w:pPr>
    </w:p>
    <w:p w:rsidR="00F46BB9" w:rsidRDefault="00F46BB9" w:rsidP="007B18FB">
      <w:pPr>
        <w:rPr>
          <w:b/>
        </w:rPr>
      </w:pPr>
    </w:p>
    <w:p w:rsidR="00F46BB9" w:rsidRDefault="00F46BB9" w:rsidP="007B18FB">
      <w:pPr>
        <w:rPr>
          <w:b/>
        </w:rPr>
      </w:pPr>
    </w:p>
    <w:p w:rsidR="00F46BB9" w:rsidRDefault="00F46BB9" w:rsidP="007B18FB">
      <w:pPr>
        <w:rPr>
          <w:b/>
        </w:rPr>
      </w:pPr>
    </w:p>
    <w:p w:rsidR="00F46BB9" w:rsidRDefault="00F46BB9" w:rsidP="007B18FB">
      <w:pPr>
        <w:rPr>
          <w:b/>
        </w:rPr>
      </w:pPr>
    </w:p>
    <w:p w:rsidR="00F46BB9" w:rsidRDefault="00F46BB9" w:rsidP="007B18FB">
      <w:pPr>
        <w:rPr>
          <w:b/>
        </w:rPr>
      </w:pPr>
    </w:p>
    <w:p w:rsidR="00F46BB9" w:rsidRDefault="00F46BB9" w:rsidP="007B18FB">
      <w:pPr>
        <w:rPr>
          <w:b/>
        </w:rPr>
      </w:pPr>
    </w:p>
    <w:p w:rsidR="00F46BB9" w:rsidRDefault="00F46BB9" w:rsidP="007B18FB">
      <w:pPr>
        <w:rPr>
          <w:b/>
        </w:rPr>
      </w:pPr>
    </w:p>
    <w:p w:rsidR="00F46BB9" w:rsidRDefault="00F46BB9" w:rsidP="007B18FB">
      <w:pPr>
        <w:rPr>
          <w:b/>
        </w:rPr>
      </w:pPr>
    </w:p>
    <w:p w:rsidR="00F46BB9" w:rsidRDefault="00F46BB9" w:rsidP="007B18FB">
      <w:pPr>
        <w:rPr>
          <w:b/>
        </w:rPr>
      </w:pPr>
    </w:p>
    <w:p w:rsidR="00F46BB9" w:rsidRDefault="00F46BB9" w:rsidP="007B18FB">
      <w:pPr>
        <w:rPr>
          <w:b/>
        </w:rPr>
      </w:pPr>
    </w:p>
    <w:p w:rsidR="00F46BB9" w:rsidRDefault="00F46BB9" w:rsidP="007B18FB">
      <w:pPr>
        <w:rPr>
          <w:b/>
        </w:rPr>
      </w:pPr>
    </w:p>
    <w:p w:rsidR="00F46BB9" w:rsidRDefault="00F46BB9" w:rsidP="007B18FB">
      <w:pPr>
        <w:rPr>
          <w:b/>
        </w:rPr>
      </w:pPr>
    </w:p>
    <w:p w:rsidR="00FD712D" w:rsidRDefault="00FD712D" w:rsidP="007B18FB">
      <w:pPr>
        <w:rPr>
          <w:b/>
        </w:rPr>
      </w:pPr>
    </w:p>
    <w:p w:rsidR="00FD712D" w:rsidRDefault="00972B22" w:rsidP="00FD712D">
      <w:pPr>
        <w:pStyle w:val="Prrafodelista"/>
        <w:numPr>
          <w:ilvl w:val="0"/>
          <w:numId w:val="1"/>
        </w:numPr>
      </w:pPr>
      <w:r>
        <w:t>Clasificación Mirizzi</w:t>
      </w:r>
    </w:p>
    <w:p w:rsidR="00972B22" w:rsidRDefault="00972B22" w:rsidP="00972B22">
      <w:pPr>
        <w:pStyle w:val="Prrafodelista"/>
      </w:pPr>
    </w:p>
    <w:p w:rsidR="00972B22" w:rsidRDefault="00972B22" w:rsidP="00972B22">
      <w:pPr>
        <w:pStyle w:val="Prrafodelista"/>
      </w:pPr>
      <w:r>
        <w:rPr>
          <w:noProof/>
          <w:lang w:eastAsia="es-ES"/>
        </w:rPr>
        <w:drawing>
          <wp:inline distT="0" distB="0" distL="0" distR="0">
            <wp:extent cx="4600575" cy="3670122"/>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34039" t="25078" r="34568" b="30408"/>
                    <a:stretch>
                      <a:fillRect/>
                    </a:stretch>
                  </pic:blipFill>
                  <pic:spPr bwMode="auto">
                    <a:xfrm>
                      <a:off x="0" y="0"/>
                      <a:ext cx="4600575" cy="3670122"/>
                    </a:xfrm>
                    <a:prstGeom prst="rect">
                      <a:avLst/>
                    </a:prstGeom>
                    <a:noFill/>
                    <a:ln w="9525">
                      <a:noFill/>
                      <a:miter lim="800000"/>
                      <a:headEnd/>
                      <a:tailEnd/>
                    </a:ln>
                  </pic:spPr>
                </pic:pic>
              </a:graphicData>
            </a:graphic>
          </wp:inline>
        </w:drawing>
      </w:r>
    </w:p>
    <w:p w:rsidR="00972B22" w:rsidRDefault="00972B22" w:rsidP="00972B22">
      <w:pPr>
        <w:pStyle w:val="Prrafodelista"/>
      </w:pPr>
    </w:p>
    <w:p w:rsidR="00972B22" w:rsidRDefault="00972B22" w:rsidP="00972B22">
      <w:pPr>
        <w:pStyle w:val="Prrafodelista"/>
        <w:rPr>
          <w:rFonts w:ascii="Arial" w:hAnsi="Arial" w:cs="Arial"/>
          <w:b/>
          <w:color w:val="000000"/>
          <w:sz w:val="18"/>
          <w:szCs w:val="18"/>
        </w:rPr>
      </w:pPr>
      <w:r w:rsidRPr="00972B22">
        <w:rPr>
          <w:b/>
        </w:rPr>
        <w:t xml:space="preserve">Fuente: </w:t>
      </w:r>
      <w:r w:rsidRPr="00972B22">
        <w:rPr>
          <w:rFonts w:ascii="Arial" w:hAnsi="Arial" w:cs="Arial"/>
          <w:b/>
          <w:color w:val="000000"/>
          <w:sz w:val="18"/>
          <w:szCs w:val="18"/>
        </w:rPr>
        <w:t>Rodriguez González, Omaira et al.</w:t>
      </w:r>
      <w:r w:rsidRPr="00972B22">
        <w:rPr>
          <w:rStyle w:val="article-title"/>
          <w:rFonts w:ascii="Arial" w:hAnsi="Arial" w:cs="Arial"/>
          <w:b/>
          <w:color w:val="000000"/>
          <w:sz w:val="18"/>
          <w:szCs w:val="18"/>
        </w:rPr>
        <w:t> Resolución laparoscópica de litiasis vesicular complicada con fístula colecistobiliar y colecistoduodenal: Síndrome de mirizzi tipo V. a propósito de un caso complejo.</w:t>
      </w:r>
      <w:r w:rsidRPr="00972B22">
        <w:rPr>
          <w:rFonts w:ascii="Arial" w:hAnsi="Arial" w:cs="Arial"/>
          <w:b/>
          <w:i/>
          <w:iCs/>
          <w:color w:val="000000"/>
          <w:sz w:val="18"/>
          <w:szCs w:val="18"/>
        </w:rPr>
        <w:t> RFM</w:t>
      </w:r>
      <w:r w:rsidRPr="00972B22">
        <w:rPr>
          <w:rFonts w:ascii="Arial" w:hAnsi="Arial" w:cs="Arial"/>
          <w:b/>
          <w:color w:val="000000"/>
          <w:sz w:val="18"/>
          <w:szCs w:val="18"/>
        </w:rPr>
        <w:t> [online]. 2009, vol.32, n.2 [citado  2019-10-11], pp. 171-175.</w:t>
      </w: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972B22" w:rsidRDefault="00972B22" w:rsidP="00972B22">
      <w:pPr>
        <w:pStyle w:val="Prrafodelista"/>
      </w:pPr>
    </w:p>
    <w:p w:rsidR="00F46BB9" w:rsidRDefault="00F46BB9" w:rsidP="00972B22">
      <w:pPr>
        <w:pStyle w:val="Prrafodelista"/>
      </w:pPr>
    </w:p>
    <w:p w:rsidR="00F46BB9" w:rsidRDefault="00F46BB9" w:rsidP="00972B22">
      <w:pPr>
        <w:pStyle w:val="Prrafodelista"/>
      </w:pPr>
    </w:p>
    <w:p w:rsidR="00F46BB9" w:rsidRDefault="00F46BB9" w:rsidP="00972B22">
      <w:pPr>
        <w:pStyle w:val="Prrafodelista"/>
      </w:pPr>
    </w:p>
    <w:p w:rsidR="00F46BB9" w:rsidRDefault="00F46BB9" w:rsidP="00972B22">
      <w:pPr>
        <w:pStyle w:val="Prrafodelista"/>
      </w:pPr>
    </w:p>
    <w:p w:rsidR="00B2763C" w:rsidRDefault="00B2763C" w:rsidP="00972B22">
      <w:pPr>
        <w:pStyle w:val="Prrafodelista"/>
      </w:pPr>
    </w:p>
    <w:p w:rsidR="00B2763C" w:rsidRDefault="00B2763C" w:rsidP="00972B22">
      <w:pPr>
        <w:pStyle w:val="Prrafodelista"/>
      </w:pPr>
    </w:p>
    <w:p w:rsidR="00F46BB9" w:rsidRDefault="00F46BB9" w:rsidP="00972B22">
      <w:pPr>
        <w:pStyle w:val="Prrafodelista"/>
      </w:pPr>
    </w:p>
    <w:p w:rsidR="00972B22" w:rsidRDefault="00972B22" w:rsidP="00972B22">
      <w:pPr>
        <w:pStyle w:val="Prrafodelista"/>
      </w:pPr>
    </w:p>
    <w:p w:rsidR="00FA7582" w:rsidRPr="00FA7582" w:rsidRDefault="00972B22" w:rsidP="003F4FBF">
      <w:pPr>
        <w:pStyle w:val="Prrafodelista"/>
        <w:numPr>
          <w:ilvl w:val="0"/>
          <w:numId w:val="1"/>
        </w:numPr>
        <w:rPr>
          <w:b/>
        </w:rPr>
      </w:pPr>
      <w:r>
        <w:t xml:space="preserve">Clasificación </w:t>
      </w:r>
      <w:r w:rsidR="003F4FBF">
        <w:t>Child-Pugh</w:t>
      </w:r>
      <w:r w:rsidR="00B0316E">
        <w:t xml:space="preserve"> </w:t>
      </w:r>
    </w:p>
    <w:p w:rsidR="003F4FBF" w:rsidRPr="00FA7582" w:rsidRDefault="00B0316E" w:rsidP="00FA7582">
      <w:pPr>
        <w:ind w:left="360"/>
        <w:rPr>
          <w:b/>
        </w:rPr>
      </w:pPr>
      <w:r>
        <w:t>Daño hepático crónico</w:t>
      </w:r>
      <w:r w:rsidR="00FA7582">
        <w:t>, evaluar pronóstico.</w:t>
      </w:r>
    </w:p>
    <w:p w:rsidR="003F4FBF" w:rsidRDefault="003F4FBF" w:rsidP="003F4FBF">
      <w:pPr>
        <w:rPr>
          <w:b/>
        </w:rPr>
      </w:pPr>
    </w:p>
    <w:p w:rsidR="003F4FBF" w:rsidRPr="003F4FBF" w:rsidRDefault="003F4FBF" w:rsidP="003F4FBF">
      <w:pPr>
        <w:rPr>
          <w:b/>
        </w:rPr>
      </w:pPr>
      <w:r>
        <w:rPr>
          <w:b/>
          <w:noProof/>
          <w:lang w:eastAsia="es-ES"/>
        </w:rPr>
        <w:drawing>
          <wp:inline distT="0" distB="0" distL="0" distR="0">
            <wp:extent cx="5343525" cy="260614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116" t="36708" r="47619" b="19681"/>
                    <a:stretch>
                      <a:fillRect/>
                    </a:stretch>
                  </pic:blipFill>
                  <pic:spPr bwMode="auto">
                    <a:xfrm>
                      <a:off x="0" y="0"/>
                      <a:ext cx="5343525" cy="2606140"/>
                    </a:xfrm>
                    <a:prstGeom prst="rect">
                      <a:avLst/>
                    </a:prstGeom>
                    <a:noFill/>
                    <a:ln w="9525">
                      <a:noFill/>
                      <a:miter lim="800000"/>
                      <a:headEnd/>
                      <a:tailEnd/>
                    </a:ln>
                  </pic:spPr>
                </pic:pic>
              </a:graphicData>
            </a:graphic>
          </wp:inline>
        </w:drawing>
      </w:r>
    </w:p>
    <w:p w:rsidR="00972B22" w:rsidRDefault="00972B22" w:rsidP="00972B22">
      <w:pPr>
        <w:rPr>
          <w:b/>
        </w:rPr>
      </w:pPr>
    </w:p>
    <w:p w:rsidR="003F4FBF" w:rsidRDefault="003F4FBF" w:rsidP="00972B22">
      <w:pPr>
        <w:rPr>
          <w:rFonts w:ascii="Arial" w:hAnsi="Arial" w:cs="Arial"/>
          <w:b/>
          <w:color w:val="3F3F3F"/>
          <w:shd w:val="clear" w:color="auto" w:fill="FFFFFF"/>
        </w:rPr>
      </w:pPr>
      <w:r w:rsidRPr="003F4FBF">
        <w:rPr>
          <w:b/>
          <w:lang w:val="en-US"/>
        </w:rPr>
        <w:t xml:space="preserve">Fuente: </w:t>
      </w:r>
      <w:r w:rsidRPr="003F4FBF">
        <w:rPr>
          <w:rFonts w:ascii="Arial" w:hAnsi="Arial" w:cs="Arial"/>
          <w:b/>
          <w:color w:val="3F3F3F"/>
          <w:shd w:val="clear" w:color="auto" w:fill="FFFFFF"/>
          <w:lang w:val="en-US"/>
        </w:rPr>
        <w:t xml:space="preserve">Christensen E, </w:t>
      </w:r>
      <w:proofErr w:type="spellStart"/>
      <w:r w:rsidRPr="003F4FBF">
        <w:rPr>
          <w:rFonts w:ascii="Arial" w:hAnsi="Arial" w:cs="Arial"/>
          <w:b/>
          <w:color w:val="3F3F3F"/>
          <w:shd w:val="clear" w:color="auto" w:fill="FFFFFF"/>
          <w:lang w:val="en-US"/>
        </w:rPr>
        <w:t>Schlichting</w:t>
      </w:r>
      <w:proofErr w:type="spellEnd"/>
      <w:r w:rsidRPr="003F4FBF">
        <w:rPr>
          <w:rFonts w:ascii="Arial" w:hAnsi="Arial" w:cs="Arial"/>
          <w:b/>
          <w:color w:val="3F3F3F"/>
          <w:shd w:val="clear" w:color="auto" w:fill="FFFFFF"/>
          <w:lang w:val="en-US"/>
        </w:rPr>
        <w:t xml:space="preserve"> P, </w:t>
      </w:r>
      <w:proofErr w:type="spellStart"/>
      <w:r w:rsidRPr="003F4FBF">
        <w:rPr>
          <w:rFonts w:ascii="Arial" w:hAnsi="Arial" w:cs="Arial"/>
          <w:b/>
          <w:color w:val="3F3F3F"/>
          <w:shd w:val="clear" w:color="auto" w:fill="FFFFFF"/>
          <w:lang w:val="en-US"/>
        </w:rPr>
        <w:t>Fauerholdt</w:t>
      </w:r>
      <w:proofErr w:type="spellEnd"/>
      <w:r w:rsidRPr="003F4FBF">
        <w:rPr>
          <w:rFonts w:ascii="Arial" w:hAnsi="Arial" w:cs="Arial"/>
          <w:b/>
          <w:color w:val="3F3F3F"/>
          <w:shd w:val="clear" w:color="auto" w:fill="FFFFFF"/>
          <w:lang w:val="en-US"/>
        </w:rPr>
        <w:t xml:space="preserve"> L, </w:t>
      </w:r>
      <w:proofErr w:type="spellStart"/>
      <w:r w:rsidRPr="003F4FBF">
        <w:rPr>
          <w:rFonts w:ascii="Arial" w:hAnsi="Arial" w:cs="Arial"/>
          <w:b/>
          <w:color w:val="3F3F3F"/>
          <w:shd w:val="clear" w:color="auto" w:fill="FFFFFF"/>
          <w:lang w:val="en-US"/>
        </w:rPr>
        <w:t>Gluud</w:t>
      </w:r>
      <w:proofErr w:type="spellEnd"/>
      <w:r w:rsidRPr="003F4FBF">
        <w:rPr>
          <w:rFonts w:ascii="Arial" w:hAnsi="Arial" w:cs="Arial"/>
          <w:b/>
          <w:color w:val="3F3F3F"/>
          <w:shd w:val="clear" w:color="auto" w:fill="FFFFFF"/>
          <w:lang w:val="en-US"/>
        </w:rPr>
        <w:t xml:space="preserve"> C, Andersen PK, </w:t>
      </w:r>
      <w:proofErr w:type="spellStart"/>
      <w:r w:rsidRPr="003F4FBF">
        <w:rPr>
          <w:rFonts w:ascii="Arial" w:hAnsi="Arial" w:cs="Arial"/>
          <w:b/>
          <w:color w:val="3F3F3F"/>
          <w:shd w:val="clear" w:color="auto" w:fill="FFFFFF"/>
          <w:lang w:val="en-US"/>
        </w:rPr>
        <w:t>Juhl</w:t>
      </w:r>
      <w:proofErr w:type="spellEnd"/>
      <w:r w:rsidRPr="003F4FBF">
        <w:rPr>
          <w:rFonts w:ascii="Arial" w:hAnsi="Arial" w:cs="Arial"/>
          <w:b/>
          <w:color w:val="3F3F3F"/>
          <w:shd w:val="clear" w:color="auto" w:fill="FFFFFF"/>
          <w:lang w:val="en-US"/>
        </w:rPr>
        <w:t xml:space="preserve"> E</w:t>
      </w:r>
      <w:r w:rsidRPr="003F4FBF">
        <w:rPr>
          <w:rStyle w:val="nfasis"/>
          <w:rFonts w:ascii="Arial" w:hAnsi="Arial" w:cs="Arial"/>
          <w:b/>
          <w:color w:val="3F3F3F"/>
          <w:bdr w:val="none" w:sz="0" w:space="0" w:color="auto" w:frame="1"/>
          <w:shd w:val="clear" w:color="auto" w:fill="FFFFFF"/>
          <w:lang w:val="en-US"/>
        </w:rPr>
        <w:t>, et al.</w:t>
      </w:r>
      <w:r w:rsidRPr="003F4FBF">
        <w:rPr>
          <w:rFonts w:ascii="Arial" w:hAnsi="Arial" w:cs="Arial"/>
          <w:b/>
          <w:color w:val="3F3F3F"/>
          <w:shd w:val="clear" w:color="auto" w:fill="FFFFFF"/>
          <w:lang w:val="en-US"/>
        </w:rPr>
        <w:t> Prognostic value of Child-Turcotte criteria in medically treated cirrhosis. </w:t>
      </w:r>
      <w:r w:rsidRPr="003F4FBF">
        <w:rPr>
          <w:rStyle w:val="nfasis"/>
          <w:rFonts w:ascii="Arial" w:hAnsi="Arial" w:cs="Arial"/>
          <w:b/>
          <w:color w:val="3F3F3F"/>
          <w:bdr w:val="none" w:sz="0" w:space="0" w:color="auto" w:frame="1"/>
          <w:shd w:val="clear" w:color="auto" w:fill="FFFFFF"/>
        </w:rPr>
        <w:t>Hepatology </w:t>
      </w:r>
      <w:r w:rsidRPr="003F4FBF">
        <w:rPr>
          <w:rFonts w:ascii="Arial" w:hAnsi="Arial" w:cs="Arial"/>
          <w:b/>
          <w:color w:val="3F3F3F"/>
          <w:shd w:val="clear" w:color="auto" w:fill="FFFFFF"/>
        </w:rPr>
        <w:t>1984,</w:t>
      </w:r>
      <w:r w:rsidRPr="003F4FBF">
        <w:rPr>
          <w:rStyle w:val="Textoennegrita"/>
          <w:rFonts w:ascii="Arial" w:hAnsi="Arial" w:cs="Arial"/>
          <w:b w:val="0"/>
          <w:color w:val="3F3F3F"/>
          <w:bdr w:val="none" w:sz="0" w:space="0" w:color="auto" w:frame="1"/>
          <w:shd w:val="clear" w:color="auto" w:fill="FFFFFF"/>
        </w:rPr>
        <w:t>4</w:t>
      </w:r>
      <w:r w:rsidRPr="003F4FBF">
        <w:rPr>
          <w:rFonts w:ascii="Arial" w:hAnsi="Arial" w:cs="Arial"/>
          <w:b/>
          <w:color w:val="3F3F3F"/>
          <w:shd w:val="clear" w:color="auto" w:fill="FFFFFF"/>
        </w:rPr>
        <w:t>:430-435.</w:t>
      </w: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F46BB9" w:rsidRDefault="00F46BB9" w:rsidP="00972B22">
      <w:pPr>
        <w:rPr>
          <w:rFonts w:ascii="Arial" w:hAnsi="Arial" w:cs="Arial"/>
          <w:b/>
          <w:color w:val="3F3F3F"/>
          <w:shd w:val="clear" w:color="auto" w:fill="FFFFFF"/>
        </w:rPr>
      </w:pPr>
    </w:p>
    <w:p w:rsidR="003F4FBF" w:rsidRDefault="003F4FBF" w:rsidP="00972B22">
      <w:pPr>
        <w:rPr>
          <w:rFonts w:ascii="Arial" w:hAnsi="Arial" w:cs="Arial"/>
          <w:b/>
          <w:color w:val="3F3F3F"/>
          <w:shd w:val="clear" w:color="auto" w:fill="FFFFFF"/>
        </w:rPr>
      </w:pPr>
    </w:p>
    <w:p w:rsidR="00FA7582" w:rsidRPr="00FA7582" w:rsidRDefault="003F4FBF" w:rsidP="003F4FBF">
      <w:pPr>
        <w:pStyle w:val="Prrafodelista"/>
        <w:numPr>
          <w:ilvl w:val="0"/>
          <w:numId w:val="1"/>
        </w:numPr>
      </w:pPr>
      <w:r w:rsidRPr="00FA7582">
        <w:t>Clasific</w:t>
      </w:r>
      <w:r w:rsidR="004675CD" w:rsidRPr="00FA7582">
        <w:t xml:space="preserve">ación Bismuth </w:t>
      </w:r>
      <w:r w:rsidR="00B0316E" w:rsidRPr="00FA7582">
        <w:t xml:space="preserve"> </w:t>
      </w:r>
    </w:p>
    <w:p w:rsidR="003F4FBF" w:rsidRPr="00FA7582" w:rsidRDefault="00B0316E" w:rsidP="00FA7582">
      <w:pPr>
        <w:ind w:left="360"/>
      </w:pPr>
      <w:r w:rsidRPr="00FA7582">
        <w:t>Tumores via biliar</w:t>
      </w:r>
      <w:r w:rsidR="00FA7582" w:rsidRPr="00FA7582">
        <w:t>, clasificación</w:t>
      </w:r>
    </w:p>
    <w:p w:rsidR="003F4FBF" w:rsidRDefault="003F4FBF" w:rsidP="003F4FBF">
      <w:pPr>
        <w:rPr>
          <w:b/>
        </w:rPr>
      </w:pPr>
    </w:p>
    <w:p w:rsidR="003F4FBF" w:rsidRPr="003F4FBF" w:rsidRDefault="004675CD" w:rsidP="003F4FBF">
      <w:pPr>
        <w:rPr>
          <w:b/>
        </w:rPr>
      </w:pPr>
      <w:r>
        <w:rPr>
          <w:b/>
          <w:noProof/>
          <w:lang w:eastAsia="es-ES"/>
        </w:rPr>
        <w:drawing>
          <wp:inline distT="0" distB="0" distL="0" distR="0">
            <wp:extent cx="5257800" cy="3428228"/>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23633" t="21630" r="24162" b="17868"/>
                    <a:stretch>
                      <a:fillRect/>
                    </a:stretch>
                  </pic:blipFill>
                  <pic:spPr bwMode="auto">
                    <a:xfrm>
                      <a:off x="0" y="0"/>
                      <a:ext cx="5257800" cy="3428228"/>
                    </a:xfrm>
                    <a:prstGeom prst="rect">
                      <a:avLst/>
                    </a:prstGeom>
                    <a:noFill/>
                    <a:ln w="9525">
                      <a:noFill/>
                      <a:miter lim="800000"/>
                      <a:headEnd/>
                      <a:tailEnd/>
                    </a:ln>
                  </pic:spPr>
                </pic:pic>
              </a:graphicData>
            </a:graphic>
          </wp:inline>
        </w:drawing>
      </w:r>
    </w:p>
    <w:p w:rsidR="00972B22" w:rsidRDefault="00972B22" w:rsidP="00972B22">
      <w:pPr>
        <w:rPr>
          <w:b/>
        </w:rPr>
      </w:pPr>
    </w:p>
    <w:p w:rsidR="004675CD" w:rsidRDefault="004675CD" w:rsidP="00972B22">
      <w:pPr>
        <w:rPr>
          <w:b/>
        </w:rPr>
      </w:pPr>
      <w:r>
        <w:rPr>
          <w:b/>
        </w:rPr>
        <w:t>Fuente: SERAM. Sociedad Española de Radiología Médica, 2010</w:t>
      </w:r>
    </w:p>
    <w:p w:rsidR="003D664E" w:rsidRDefault="003D664E" w:rsidP="00972B22">
      <w:pPr>
        <w:rPr>
          <w:b/>
        </w:rPr>
      </w:pPr>
    </w:p>
    <w:p w:rsidR="003D664E" w:rsidRDefault="003D664E" w:rsidP="00972B22">
      <w:pPr>
        <w:rPr>
          <w:b/>
        </w:rPr>
      </w:pPr>
    </w:p>
    <w:p w:rsidR="003D664E" w:rsidRDefault="003D664E" w:rsidP="00972B22">
      <w:pPr>
        <w:rPr>
          <w:b/>
        </w:rPr>
      </w:pPr>
    </w:p>
    <w:p w:rsidR="003D664E" w:rsidRDefault="003D664E" w:rsidP="00972B22">
      <w:pPr>
        <w:rPr>
          <w:b/>
        </w:rPr>
      </w:pPr>
    </w:p>
    <w:p w:rsidR="003D664E" w:rsidRDefault="003D664E" w:rsidP="00972B22">
      <w:pPr>
        <w:rPr>
          <w:b/>
        </w:rPr>
      </w:pPr>
    </w:p>
    <w:p w:rsidR="003D664E" w:rsidRDefault="003D664E" w:rsidP="00972B22">
      <w:pPr>
        <w:rPr>
          <w:b/>
        </w:rPr>
      </w:pPr>
    </w:p>
    <w:p w:rsidR="003D664E" w:rsidRDefault="003D664E" w:rsidP="00972B22">
      <w:pPr>
        <w:rPr>
          <w:b/>
        </w:rPr>
      </w:pPr>
    </w:p>
    <w:p w:rsidR="003D664E" w:rsidRDefault="003D664E" w:rsidP="00972B22">
      <w:pPr>
        <w:rPr>
          <w:b/>
        </w:rPr>
      </w:pPr>
    </w:p>
    <w:p w:rsidR="003D664E" w:rsidRDefault="003D664E" w:rsidP="00972B22">
      <w:pPr>
        <w:rPr>
          <w:b/>
        </w:rPr>
      </w:pPr>
    </w:p>
    <w:p w:rsidR="003D664E" w:rsidRDefault="003D664E" w:rsidP="00972B22">
      <w:pPr>
        <w:rPr>
          <w:b/>
        </w:rPr>
      </w:pPr>
    </w:p>
    <w:p w:rsidR="003D664E" w:rsidRDefault="003D664E"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F46BB9" w:rsidRDefault="00F46BB9" w:rsidP="00972B22">
      <w:pPr>
        <w:rPr>
          <w:b/>
        </w:rPr>
      </w:pPr>
    </w:p>
    <w:p w:rsidR="003D664E" w:rsidRDefault="003D664E" w:rsidP="00972B22">
      <w:pPr>
        <w:rPr>
          <w:b/>
        </w:rPr>
      </w:pPr>
    </w:p>
    <w:p w:rsidR="003D664E" w:rsidRDefault="003D664E" w:rsidP="00972B22">
      <w:pPr>
        <w:rPr>
          <w:b/>
        </w:rPr>
      </w:pPr>
    </w:p>
    <w:p w:rsidR="003D664E" w:rsidRDefault="003D664E" w:rsidP="00972B22">
      <w:pPr>
        <w:rPr>
          <w:b/>
        </w:rPr>
      </w:pPr>
    </w:p>
    <w:p w:rsidR="003D664E" w:rsidRPr="00FA7582" w:rsidRDefault="003D664E" w:rsidP="003D664E">
      <w:pPr>
        <w:pStyle w:val="Prrafodelista"/>
        <w:numPr>
          <w:ilvl w:val="0"/>
          <w:numId w:val="1"/>
        </w:numPr>
      </w:pPr>
      <w:r w:rsidRPr="00FA7582">
        <w:t xml:space="preserve">Clasificación Quiste Hidatídico </w:t>
      </w:r>
    </w:p>
    <w:p w:rsidR="003D664E" w:rsidRDefault="003E51E2" w:rsidP="003D664E">
      <w:pPr>
        <w:rPr>
          <w:b/>
        </w:rPr>
      </w:pPr>
      <w:r>
        <w:rPr>
          <w:b/>
          <w:noProof/>
          <w:lang w:eastAsia="es-ES"/>
        </w:rPr>
        <w:drawing>
          <wp:inline distT="0" distB="0" distL="0" distR="0">
            <wp:extent cx="5038725" cy="3343275"/>
            <wp:effectExtent l="19050" t="0" r="9525" b="0"/>
            <wp:docPr id="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49912" t="32915" r="29453" b="31662"/>
                    <a:stretch>
                      <a:fillRect/>
                    </a:stretch>
                  </pic:blipFill>
                  <pic:spPr bwMode="auto">
                    <a:xfrm>
                      <a:off x="0" y="0"/>
                      <a:ext cx="5038725" cy="3343275"/>
                    </a:xfrm>
                    <a:prstGeom prst="rect">
                      <a:avLst/>
                    </a:prstGeom>
                    <a:noFill/>
                    <a:ln w="9525">
                      <a:noFill/>
                      <a:miter lim="800000"/>
                      <a:headEnd/>
                      <a:tailEnd/>
                    </a:ln>
                  </pic:spPr>
                </pic:pic>
              </a:graphicData>
            </a:graphic>
          </wp:inline>
        </w:drawing>
      </w:r>
    </w:p>
    <w:p w:rsidR="003D664E" w:rsidRDefault="003D664E" w:rsidP="003D664E">
      <w:pPr>
        <w:rPr>
          <w:b/>
        </w:rPr>
      </w:pPr>
    </w:p>
    <w:p w:rsidR="003E51E2" w:rsidRDefault="003E51E2" w:rsidP="003D664E">
      <w:pPr>
        <w:rPr>
          <w:b/>
        </w:rPr>
      </w:pPr>
      <w:r>
        <w:rPr>
          <w:b/>
          <w:noProof/>
          <w:lang w:eastAsia="es-ES"/>
        </w:rPr>
        <w:drawing>
          <wp:inline distT="0" distB="0" distL="0" distR="0">
            <wp:extent cx="5124450" cy="3299646"/>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31570" t="31691" r="32275" b="26891"/>
                    <a:stretch>
                      <a:fillRect/>
                    </a:stretch>
                  </pic:blipFill>
                  <pic:spPr bwMode="auto">
                    <a:xfrm>
                      <a:off x="0" y="0"/>
                      <a:ext cx="5124450" cy="3299646"/>
                    </a:xfrm>
                    <a:prstGeom prst="rect">
                      <a:avLst/>
                    </a:prstGeom>
                    <a:noFill/>
                    <a:ln w="9525">
                      <a:noFill/>
                      <a:miter lim="800000"/>
                      <a:headEnd/>
                      <a:tailEnd/>
                    </a:ln>
                  </pic:spPr>
                </pic:pic>
              </a:graphicData>
            </a:graphic>
          </wp:inline>
        </w:drawing>
      </w:r>
    </w:p>
    <w:p w:rsidR="003D664E" w:rsidRDefault="003D664E" w:rsidP="003D664E">
      <w:pPr>
        <w:rPr>
          <w:b/>
        </w:rPr>
      </w:pPr>
    </w:p>
    <w:p w:rsidR="003D664E" w:rsidRDefault="003D664E" w:rsidP="003D664E">
      <w:pPr>
        <w:rPr>
          <w:b/>
        </w:rPr>
      </w:pPr>
    </w:p>
    <w:p w:rsidR="003D664E" w:rsidRDefault="003D664E" w:rsidP="003D664E">
      <w:pPr>
        <w:rPr>
          <w:b/>
        </w:rPr>
      </w:pPr>
    </w:p>
    <w:p w:rsidR="003D664E" w:rsidRDefault="003E51E2" w:rsidP="003D664E">
      <w:pPr>
        <w:rPr>
          <w:b/>
        </w:rPr>
      </w:pPr>
      <w:r w:rsidRPr="003E51E2">
        <w:rPr>
          <w:b/>
        </w:rPr>
        <w:t>Fuente: Actualización en el diagnóstico y tratamiento de la hidatidosis hepática / Pedro P. Pinto G. Rev. Chilena de Cirugía. Vol 60 - Nº 6, Diciembre 2008; pág. 561-566.</w:t>
      </w: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A7582" w:rsidRPr="00FA7582" w:rsidRDefault="004F3F04" w:rsidP="003E51E2">
      <w:pPr>
        <w:pStyle w:val="Prrafodelista"/>
        <w:numPr>
          <w:ilvl w:val="0"/>
          <w:numId w:val="1"/>
        </w:numPr>
      </w:pPr>
      <w:r w:rsidRPr="00FA7582">
        <w:t>Clasificación Sugarbaker</w:t>
      </w:r>
      <w:r w:rsidR="00B0316E" w:rsidRPr="00FA7582">
        <w:t xml:space="preserve"> </w:t>
      </w:r>
    </w:p>
    <w:p w:rsidR="003E51E2" w:rsidRPr="00FA7582" w:rsidRDefault="00B0316E" w:rsidP="00FA7582">
      <w:pPr>
        <w:ind w:left="360"/>
      </w:pPr>
      <w:r w:rsidRPr="00FA7582">
        <w:t>Indice de carcinomatosis peritoneal</w:t>
      </w:r>
    </w:p>
    <w:p w:rsidR="004F3F04" w:rsidRDefault="004F3F04" w:rsidP="004F3F04">
      <w:pPr>
        <w:rPr>
          <w:b/>
        </w:rPr>
      </w:pPr>
    </w:p>
    <w:p w:rsidR="004F3F04" w:rsidRPr="004F3F04" w:rsidRDefault="004F3F04" w:rsidP="004F3F04">
      <w:pPr>
        <w:rPr>
          <w:b/>
        </w:rPr>
      </w:pPr>
      <w:r>
        <w:rPr>
          <w:b/>
          <w:noProof/>
          <w:lang w:eastAsia="es-ES"/>
        </w:rPr>
        <w:drawing>
          <wp:inline distT="0" distB="0" distL="0" distR="0">
            <wp:extent cx="5743575" cy="351564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24691" t="27296" r="25750" b="18740"/>
                    <a:stretch>
                      <a:fillRect/>
                    </a:stretch>
                  </pic:blipFill>
                  <pic:spPr bwMode="auto">
                    <a:xfrm>
                      <a:off x="0" y="0"/>
                      <a:ext cx="5743575" cy="3515640"/>
                    </a:xfrm>
                    <a:prstGeom prst="rect">
                      <a:avLst/>
                    </a:prstGeom>
                    <a:noFill/>
                    <a:ln w="9525">
                      <a:noFill/>
                      <a:miter lim="800000"/>
                      <a:headEnd/>
                      <a:tailEnd/>
                    </a:ln>
                  </pic:spPr>
                </pic:pic>
              </a:graphicData>
            </a:graphic>
          </wp:inline>
        </w:drawing>
      </w:r>
    </w:p>
    <w:p w:rsidR="003D664E" w:rsidRDefault="003D664E" w:rsidP="003D664E">
      <w:pPr>
        <w:rPr>
          <w:b/>
        </w:rPr>
      </w:pPr>
    </w:p>
    <w:p w:rsidR="004F3F04" w:rsidRPr="007404E5" w:rsidRDefault="004F3F04" w:rsidP="003D664E">
      <w:pPr>
        <w:rPr>
          <w:b/>
        </w:rPr>
      </w:pPr>
      <w:r w:rsidRPr="007404E5">
        <w:rPr>
          <w:b/>
        </w:rPr>
        <w:t xml:space="preserve">Fuente: </w:t>
      </w:r>
      <w:r w:rsidR="007404E5" w:rsidRPr="007404E5">
        <w:rPr>
          <w:rFonts w:ascii="Arial" w:hAnsi="Arial" w:cs="Arial"/>
          <w:b/>
          <w:color w:val="000000"/>
          <w:sz w:val="18"/>
          <w:szCs w:val="18"/>
        </w:rPr>
        <w:t>Lopez-Basave</w:t>
      </w:r>
      <w:r w:rsidRPr="007404E5">
        <w:rPr>
          <w:rFonts w:ascii="Arial" w:hAnsi="Arial" w:cs="Arial"/>
          <w:b/>
          <w:color w:val="000000"/>
          <w:sz w:val="18"/>
          <w:szCs w:val="18"/>
        </w:rPr>
        <w:t>, Horacio Noé et al.</w:t>
      </w:r>
      <w:r w:rsidRPr="007404E5">
        <w:rPr>
          <w:rStyle w:val="article-title"/>
          <w:rFonts w:ascii="Arial" w:hAnsi="Arial" w:cs="Arial"/>
          <w:b/>
          <w:color w:val="000000"/>
          <w:sz w:val="18"/>
          <w:szCs w:val="18"/>
        </w:rPr>
        <w:t> Citorreducción e HIPEC en carcinomatosis peritoneal. Experiencia del Instituto Nacional de Cancerología de México.</w:t>
      </w:r>
      <w:r w:rsidRPr="007404E5">
        <w:rPr>
          <w:rFonts w:ascii="Arial" w:hAnsi="Arial" w:cs="Arial"/>
          <w:b/>
          <w:i/>
          <w:iCs/>
          <w:color w:val="000000"/>
          <w:sz w:val="18"/>
          <w:szCs w:val="18"/>
        </w:rPr>
        <w:t> Cir. gen</w:t>
      </w:r>
      <w:r w:rsidRPr="007404E5">
        <w:rPr>
          <w:rFonts w:ascii="Arial" w:hAnsi="Arial" w:cs="Arial"/>
          <w:b/>
          <w:color w:val="000000"/>
          <w:sz w:val="18"/>
          <w:szCs w:val="18"/>
        </w:rPr>
        <w:t> [online]. 2014, vol.36, n.3 [citado  2019-10-10], pp.138-144.</w:t>
      </w:r>
    </w:p>
    <w:p w:rsidR="003D664E" w:rsidRDefault="003D664E" w:rsidP="003D664E">
      <w:pPr>
        <w:rPr>
          <w:b/>
        </w:rPr>
      </w:pPr>
    </w:p>
    <w:p w:rsidR="003D664E" w:rsidRDefault="003D664E" w:rsidP="003D664E">
      <w:pPr>
        <w:rPr>
          <w:b/>
        </w:rPr>
      </w:pPr>
    </w:p>
    <w:p w:rsidR="00FA4260" w:rsidRDefault="00FA4260" w:rsidP="003D664E">
      <w:pPr>
        <w:rPr>
          <w:b/>
        </w:rPr>
      </w:pPr>
    </w:p>
    <w:p w:rsidR="00FA4260" w:rsidRDefault="00FA4260" w:rsidP="003D664E">
      <w:pPr>
        <w:rPr>
          <w:b/>
        </w:rPr>
      </w:pPr>
    </w:p>
    <w:p w:rsidR="00FA4260" w:rsidRDefault="00FA4260" w:rsidP="003D664E">
      <w:pPr>
        <w:rPr>
          <w:b/>
        </w:rPr>
      </w:pPr>
    </w:p>
    <w:p w:rsidR="00FA4260" w:rsidRDefault="00FA4260" w:rsidP="003D664E">
      <w:pPr>
        <w:rPr>
          <w:b/>
        </w:rPr>
      </w:pPr>
    </w:p>
    <w:p w:rsidR="00FA4260" w:rsidRDefault="00FA4260" w:rsidP="003D664E">
      <w:pPr>
        <w:rPr>
          <w:b/>
        </w:rPr>
      </w:pPr>
    </w:p>
    <w:p w:rsidR="00FA4260" w:rsidRDefault="00FA4260" w:rsidP="003D664E">
      <w:pPr>
        <w:rPr>
          <w:b/>
        </w:rPr>
      </w:pPr>
    </w:p>
    <w:p w:rsidR="00FA4260" w:rsidRDefault="00FA4260" w:rsidP="003D664E">
      <w:pPr>
        <w:rPr>
          <w:b/>
        </w:rPr>
      </w:pPr>
    </w:p>
    <w:p w:rsidR="00FA4260" w:rsidRDefault="00FA4260" w:rsidP="003D664E">
      <w:pPr>
        <w:rPr>
          <w:b/>
        </w:rPr>
      </w:pPr>
    </w:p>
    <w:p w:rsidR="00FA4260" w:rsidRDefault="00FA4260" w:rsidP="003D664E">
      <w:pPr>
        <w:rPr>
          <w:b/>
        </w:rPr>
      </w:pPr>
    </w:p>
    <w:p w:rsidR="00FA4260" w:rsidRDefault="00FA4260"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A4260" w:rsidRDefault="00FA4260" w:rsidP="003D664E">
      <w:pPr>
        <w:rPr>
          <w:b/>
        </w:rPr>
      </w:pPr>
    </w:p>
    <w:p w:rsidR="00FA7582" w:rsidRPr="00FA7582" w:rsidRDefault="00FA4260" w:rsidP="00FA4260">
      <w:pPr>
        <w:pStyle w:val="Prrafodelista"/>
        <w:numPr>
          <w:ilvl w:val="0"/>
          <w:numId w:val="1"/>
        </w:numPr>
      </w:pPr>
      <w:r w:rsidRPr="00FA7582">
        <w:lastRenderedPageBreak/>
        <w:t>Clasificación BISAP</w:t>
      </w:r>
      <w:r w:rsidR="00B0316E" w:rsidRPr="00FA7582">
        <w:t xml:space="preserve"> </w:t>
      </w:r>
    </w:p>
    <w:p w:rsidR="00FA4260" w:rsidRPr="00FA7582" w:rsidRDefault="00B0316E" w:rsidP="00FA7582">
      <w:pPr>
        <w:ind w:left="360"/>
      </w:pPr>
      <w:r w:rsidRPr="00FA7582">
        <w:t>Score predictor de gravedad en pancreatitis aguda</w:t>
      </w:r>
    </w:p>
    <w:p w:rsidR="00FA4260" w:rsidRDefault="00FA4260" w:rsidP="00FA4260">
      <w:pPr>
        <w:rPr>
          <w:b/>
        </w:rPr>
      </w:pPr>
    </w:p>
    <w:p w:rsidR="00FA4260" w:rsidRPr="00FA4260" w:rsidRDefault="00FA4260" w:rsidP="00FA4260">
      <w:pPr>
        <w:rPr>
          <w:b/>
        </w:rPr>
      </w:pPr>
      <w:r>
        <w:rPr>
          <w:b/>
          <w:noProof/>
          <w:lang w:eastAsia="es-ES"/>
        </w:rPr>
        <w:drawing>
          <wp:inline distT="0" distB="0" distL="0" distR="0">
            <wp:extent cx="5238750" cy="3727326"/>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13933" t="3762" r="13933" b="5016"/>
                    <a:stretch>
                      <a:fillRect/>
                    </a:stretch>
                  </pic:blipFill>
                  <pic:spPr bwMode="auto">
                    <a:xfrm>
                      <a:off x="0" y="0"/>
                      <a:ext cx="5238750" cy="3727326"/>
                    </a:xfrm>
                    <a:prstGeom prst="rect">
                      <a:avLst/>
                    </a:prstGeom>
                    <a:noFill/>
                    <a:ln w="9525">
                      <a:noFill/>
                      <a:miter lim="800000"/>
                      <a:headEnd/>
                      <a:tailEnd/>
                    </a:ln>
                  </pic:spPr>
                </pic:pic>
              </a:graphicData>
            </a:graphic>
          </wp:inline>
        </w:drawing>
      </w:r>
    </w:p>
    <w:p w:rsidR="00FA4260" w:rsidRDefault="00FA4260" w:rsidP="003D664E">
      <w:pPr>
        <w:rPr>
          <w:b/>
        </w:rPr>
      </w:pPr>
    </w:p>
    <w:p w:rsidR="003D664E" w:rsidRDefault="00FA4260" w:rsidP="003D664E">
      <w:pPr>
        <w:rPr>
          <w:b/>
        </w:rPr>
      </w:pPr>
      <w:r>
        <w:rPr>
          <w:b/>
        </w:rPr>
        <w:t xml:space="preserve">Fuente: </w:t>
      </w:r>
      <w:r w:rsidRPr="00932858">
        <w:rPr>
          <w:b/>
        </w:rPr>
        <w:t>BISAP como predictor de gravedad en pancreatitis aguda - M. Gompertz et a</w:t>
      </w:r>
      <w:r w:rsidR="00932858" w:rsidRPr="00932858">
        <w:rPr>
          <w:b/>
        </w:rPr>
        <w:t>l. Rev Med Chile 2012; 140: 977-983.</w:t>
      </w:r>
    </w:p>
    <w:p w:rsidR="003D664E" w:rsidRDefault="003D664E" w:rsidP="003D664E">
      <w:pPr>
        <w:rPr>
          <w:b/>
        </w:rPr>
      </w:pPr>
    </w:p>
    <w:p w:rsidR="00932858" w:rsidRDefault="00932858" w:rsidP="003D664E">
      <w:pPr>
        <w:rPr>
          <w:b/>
        </w:rPr>
      </w:pPr>
    </w:p>
    <w:p w:rsidR="00932858" w:rsidRDefault="00932858" w:rsidP="003D664E">
      <w:pPr>
        <w:rPr>
          <w:b/>
        </w:rPr>
      </w:pPr>
    </w:p>
    <w:p w:rsidR="00932858" w:rsidRDefault="00932858" w:rsidP="003D664E">
      <w:pPr>
        <w:rPr>
          <w:b/>
        </w:rPr>
      </w:pPr>
    </w:p>
    <w:p w:rsidR="00932858" w:rsidRDefault="00932858" w:rsidP="003D664E">
      <w:pPr>
        <w:rPr>
          <w:b/>
        </w:rPr>
      </w:pPr>
    </w:p>
    <w:p w:rsidR="00932858" w:rsidRDefault="00932858" w:rsidP="003D664E">
      <w:pPr>
        <w:rPr>
          <w:b/>
        </w:rPr>
      </w:pPr>
    </w:p>
    <w:p w:rsidR="00932858" w:rsidRDefault="00932858" w:rsidP="003D664E">
      <w:pPr>
        <w:rPr>
          <w:b/>
        </w:rPr>
      </w:pPr>
    </w:p>
    <w:p w:rsidR="00932858" w:rsidRDefault="00932858"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F46BB9" w:rsidRDefault="00F46BB9" w:rsidP="003D664E">
      <w:pPr>
        <w:rPr>
          <w:b/>
        </w:rPr>
      </w:pPr>
    </w:p>
    <w:p w:rsidR="00932858" w:rsidRDefault="00932858" w:rsidP="003D664E">
      <w:pPr>
        <w:rPr>
          <w:b/>
        </w:rPr>
      </w:pPr>
    </w:p>
    <w:p w:rsidR="00932858" w:rsidRDefault="00932858" w:rsidP="003D664E">
      <w:pPr>
        <w:rPr>
          <w:b/>
        </w:rPr>
      </w:pPr>
    </w:p>
    <w:p w:rsidR="00932858" w:rsidRDefault="00932858" w:rsidP="003D664E">
      <w:pPr>
        <w:rPr>
          <w:b/>
        </w:rPr>
      </w:pPr>
    </w:p>
    <w:p w:rsidR="00B2763C" w:rsidRDefault="00B2763C" w:rsidP="003D664E">
      <w:pPr>
        <w:rPr>
          <w:b/>
        </w:rPr>
      </w:pPr>
    </w:p>
    <w:p w:rsidR="00932858" w:rsidRDefault="00932858" w:rsidP="003D664E">
      <w:pPr>
        <w:rPr>
          <w:b/>
        </w:rPr>
      </w:pPr>
    </w:p>
    <w:p w:rsidR="00932858" w:rsidRDefault="00932858" w:rsidP="003D664E">
      <w:pPr>
        <w:rPr>
          <w:b/>
        </w:rPr>
      </w:pPr>
    </w:p>
    <w:p w:rsidR="00FA7582" w:rsidRPr="00FA7582" w:rsidRDefault="000905D0" w:rsidP="00932858">
      <w:pPr>
        <w:pStyle w:val="Prrafodelista"/>
        <w:numPr>
          <w:ilvl w:val="0"/>
          <w:numId w:val="1"/>
        </w:numPr>
      </w:pPr>
      <w:r w:rsidRPr="00FA7582">
        <w:t>Clasificación Balthazar</w:t>
      </w:r>
      <w:r w:rsidR="00B0316E" w:rsidRPr="00FA7582">
        <w:t xml:space="preserve"> </w:t>
      </w:r>
    </w:p>
    <w:p w:rsidR="00932858" w:rsidRPr="00FA7582" w:rsidRDefault="00B0316E" w:rsidP="00FA7582">
      <w:pPr>
        <w:ind w:left="360"/>
      </w:pPr>
      <w:r w:rsidRPr="00FA7582">
        <w:t>Score de severidad en TC</w:t>
      </w:r>
      <w:r w:rsidR="00FA7582" w:rsidRPr="00FA7582">
        <w:t xml:space="preserve"> de pancreatitis aguda</w:t>
      </w:r>
    </w:p>
    <w:p w:rsidR="000905D0" w:rsidRPr="000905D0" w:rsidRDefault="000905D0" w:rsidP="000905D0">
      <w:pPr>
        <w:rPr>
          <w:b/>
        </w:rPr>
      </w:pPr>
    </w:p>
    <w:p w:rsidR="003D664E" w:rsidRDefault="000905D0" w:rsidP="003D664E">
      <w:pPr>
        <w:rPr>
          <w:b/>
        </w:rPr>
      </w:pPr>
      <w:r>
        <w:rPr>
          <w:b/>
          <w:noProof/>
          <w:lang w:eastAsia="es-ES"/>
        </w:rPr>
        <w:drawing>
          <wp:inline distT="0" distB="0" distL="0" distR="0">
            <wp:extent cx="5257800" cy="62230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l="31393" t="10031" r="32099" b="13166"/>
                    <a:stretch>
                      <a:fillRect/>
                    </a:stretch>
                  </pic:blipFill>
                  <pic:spPr bwMode="auto">
                    <a:xfrm>
                      <a:off x="0" y="0"/>
                      <a:ext cx="5257800" cy="6223000"/>
                    </a:xfrm>
                    <a:prstGeom prst="rect">
                      <a:avLst/>
                    </a:prstGeom>
                    <a:noFill/>
                    <a:ln w="9525">
                      <a:noFill/>
                      <a:miter lim="800000"/>
                      <a:headEnd/>
                      <a:tailEnd/>
                    </a:ln>
                  </pic:spPr>
                </pic:pic>
              </a:graphicData>
            </a:graphic>
          </wp:inline>
        </w:drawing>
      </w:r>
    </w:p>
    <w:p w:rsidR="003D664E" w:rsidRPr="003D664E" w:rsidRDefault="003D664E" w:rsidP="003D664E">
      <w:pPr>
        <w:rPr>
          <w:b/>
        </w:rPr>
      </w:pPr>
    </w:p>
    <w:p w:rsidR="003D664E" w:rsidRDefault="000905D0" w:rsidP="00972B22">
      <w:pPr>
        <w:rPr>
          <w:rFonts w:ascii="Arial" w:hAnsi="Arial" w:cs="Arial"/>
          <w:color w:val="000000"/>
          <w:sz w:val="18"/>
          <w:szCs w:val="18"/>
        </w:rPr>
      </w:pPr>
      <w:r>
        <w:rPr>
          <w:b/>
        </w:rPr>
        <w:t xml:space="preserve">Fuente: </w:t>
      </w:r>
      <w:r>
        <w:rPr>
          <w:rFonts w:ascii="Arial" w:hAnsi="Arial" w:cs="Arial"/>
          <w:color w:val="000000"/>
          <w:sz w:val="18"/>
          <w:szCs w:val="18"/>
        </w:rPr>
        <w:t>SCHWANER C, Jaime et al.</w:t>
      </w:r>
      <w:r>
        <w:rPr>
          <w:rStyle w:val="article-title"/>
          <w:rFonts w:ascii="Arial" w:hAnsi="Arial" w:cs="Arial"/>
          <w:color w:val="000000"/>
          <w:sz w:val="18"/>
          <w:szCs w:val="18"/>
        </w:rPr>
        <w:t> PANCREATITIS AGUDA: INDICE DE SEVERIDAD EN TC. EVALUACION DE COMPLICACIONES Y HOSPITALIZACION.</w:t>
      </w:r>
      <w:r>
        <w:rPr>
          <w:rFonts w:ascii="Arial" w:hAnsi="Arial" w:cs="Arial"/>
          <w:i/>
          <w:iCs/>
          <w:color w:val="000000"/>
          <w:sz w:val="18"/>
          <w:szCs w:val="18"/>
        </w:rPr>
        <w:t> Rev. chil. radiol.</w:t>
      </w:r>
      <w:r>
        <w:rPr>
          <w:rFonts w:ascii="Arial" w:hAnsi="Arial" w:cs="Arial"/>
          <w:color w:val="000000"/>
          <w:sz w:val="18"/>
          <w:szCs w:val="18"/>
        </w:rPr>
        <w:t> [online]. 2003, vol.9, n.4 [citado  2019-10-10], pp.187-193.</w:t>
      </w:r>
    </w:p>
    <w:p w:rsidR="000905D0" w:rsidRDefault="000905D0" w:rsidP="00972B22">
      <w:pPr>
        <w:rPr>
          <w:rFonts w:ascii="Arial" w:hAnsi="Arial" w:cs="Arial"/>
          <w:color w:val="000000"/>
          <w:sz w:val="18"/>
          <w:szCs w:val="18"/>
        </w:rPr>
      </w:pPr>
    </w:p>
    <w:p w:rsidR="000905D0" w:rsidRDefault="000905D0" w:rsidP="00972B22">
      <w:pPr>
        <w:rPr>
          <w:rFonts w:ascii="Arial" w:hAnsi="Arial" w:cs="Arial"/>
          <w:color w:val="000000"/>
          <w:sz w:val="18"/>
          <w:szCs w:val="18"/>
        </w:rPr>
      </w:pPr>
    </w:p>
    <w:p w:rsidR="000905D0" w:rsidRDefault="000905D0" w:rsidP="00972B22">
      <w:pPr>
        <w:rPr>
          <w:rFonts w:ascii="Arial" w:hAnsi="Arial" w:cs="Arial"/>
          <w:color w:val="000000"/>
          <w:sz w:val="18"/>
          <w:szCs w:val="18"/>
        </w:rPr>
      </w:pPr>
    </w:p>
    <w:p w:rsidR="000905D0" w:rsidRDefault="000905D0" w:rsidP="00972B22">
      <w:pPr>
        <w:rPr>
          <w:rFonts w:ascii="Arial" w:hAnsi="Arial" w:cs="Arial"/>
          <w:color w:val="000000"/>
          <w:sz w:val="18"/>
          <w:szCs w:val="18"/>
        </w:rPr>
      </w:pPr>
    </w:p>
    <w:p w:rsidR="00F46BB9" w:rsidRDefault="00F46BB9" w:rsidP="00972B22">
      <w:pPr>
        <w:rPr>
          <w:rFonts w:ascii="Arial" w:hAnsi="Arial" w:cs="Arial"/>
          <w:color w:val="000000"/>
          <w:sz w:val="18"/>
          <w:szCs w:val="18"/>
        </w:rPr>
      </w:pPr>
    </w:p>
    <w:p w:rsidR="00F46BB9" w:rsidRDefault="00F46BB9" w:rsidP="00972B22">
      <w:pPr>
        <w:rPr>
          <w:rFonts w:ascii="Arial" w:hAnsi="Arial" w:cs="Arial"/>
          <w:color w:val="000000"/>
          <w:sz w:val="18"/>
          <w:szCs w:val="18"/>
        </w:rPr>
      </w:pPr>
    </w:p>
    <w:p w:rsidR="00F46BB9" w:rsidRDefault="00F46BB9" w:rsidP="00972B22">
      <w:pPr>
        <w:rPr>
          <w:rFonts w:ascii="Arial" w:hAnsi="Arial" w:cs="Arial"/>
          <w:color w:val="000000"/>
          <w:sz w:val="18"/>
          <w:szCs w:val="18"/>
        </w:rPr>
      </w:pPr>
    </w:p>
    <w:p w:rsidR="00F46BB9" w:rsidRDefault="00F46BB9" w:rsidP="00972B22">
      <w:pPr>
        <w:rPr>
          <w:rFonts w:ascii="Arial" w:hAnsi="Arial" w:cs="Arial"/>
          <w:color w:val="000000"/>
          <w:sz w:val="18"/>
          <w:szCs w:val="18"/>
        </w:rPr>
      </w:pPr>
    </w:p>
    <w:p w:rsidR="00F46BB9" w:rsidRDefault="00F46BB9" w:rsidP="00972B22">
      <w:pPr>
        <w:rPr>
          <w:rFonts w:ascii="Arial" w:hAnsi="Arial" w:cs="Arial"/>
          <w:color w:val="000000"/>
          <w:sz w:val="18"/>
          <w:szCs w:val="18"/>
        </w:rPr>
      </w:pPr>
    </w:p>
    <w:p w:rsidR="00F46BB9" w:rsidRDefault="00F46BB9" w:rsidP="00972B22">
      <w:pPr>
        <w:rPr>
          <w:rFonts w:ascii="Arial" w:hAnsi="Arial" w:cs="Arial"/>
          <w:color w:val="000000"/>
          <w:sz w:val="18"/>
          <w:szCs w:val="18"/>
        </w:rPr>
      </w:pPr>
    </w:p>
    <w:p w:rsidR="00F46BB9" w:rsidRDefault="00F46BB9" w:rsidP="00972B22">
      <w:pPr>
        <w:rPr>
          <w:rFonts w:ascii="Arial" w:hAnsi="Arial" w:cs="Arial"/>
          <w:color w:val="000000"/>
          <w:sz w:val="18"/>
          <w:szCs w:val="18"/>
        </w:rPr>
      </w:pPr>
    </w:p>
    <w:p w:rsidR="00F46BB9" w:rsidRDefault="00F46BB9" w:rsidP="00972B22">
      <w:pPr>
        <w:rPr>
          <w:rFonts w:ascii="Arial" w:hAnsi="Arial" w:cs="Arial"/>
          <w:color w:val="000000"/>
          <w:sz w:val="18"/>
          <w:szCs w:val="18"/>
        </w:rPr>
      </w:pPr>
    </w:p>
    <w:p w:rsidR="00F46BB9" w:rsidRDefault="00F46BB9" w:rsidP="00972B22">
      <w:pPr>
        <w:rPr>
          <w:rFonts w:ascii="Arial" w:hAnsi="Arial" w:cs="Arial"/>
          <w:color w:val="000000"/>
          <w:sz w:val="18"/>
          <w:szCs w:val="18"/>
        </w:rPr>
      </w:pPr>
    </w:p>
    <w:p w:rsidR="00F46BB9" w:rsidRDefault="00F46BB9" w:rsidP="00972B22">
      <w:pPr>
        <w:rPr>
          <w:rFonts w:ascii="Arial" w:hAnsi="Arial" w:cs="Arial"/>
          <w:color w:val="000000"/>
          <w:sz w:val="18"/>
          <w:szCs w:val="18"/>
        </w:rPr>
      </w:pPr>
    </w:p>
    <w:p w:rsidR="00F46BB9" w:rsidRDefault="00F46BB9" w:rsidP="00972B22">
      <w:pPr>
        <w:rPr>
          <w:rFonts w:ascii="Arial" w:hAnsi="Arial" w:cs="Arial"/>
          <w:color w:val="000000"/>
          <w:sz w:val="18"/>
          <w:szCs w:val="18"/>
        </w:rPr>
      </w:pPr>
    </w:p>
    <w:p w:rsidR="00F46BB9" w:rsidRDefault="00F46BB9" w:rsidP="00972B22">
      <w:pPr>
        <w:rPr>
          <w:rFonts w:ascii="Arial" w:hAnsi="Arial" w:cs="Arial"/>
          <w:color w:val="000000"/>
          <w:sz w:val="18"/>
          <w:szCs w:val="18"/>
        </w:rPr>
      </w:pPr>
    </w:p>
    <w:p w:rsidR="00F46BB9" w:rsidRDefault="00F46BB9" w:rsidP="00972B22">
      <w:pPr>
        <w:rPr>
          <w:rFonts w:ascii="Arial" w:hAnsi="Arial" w:cs="Arial"/>
          <w:color w:val="000000"/>
          <w:sz w:val="18"/>
          <w:szCs w:val="18"/>
        </w:rPr>
      </w:pPr>
    </w:p>
    <w:p w:rsidR="00B2763C" w:rsidRDefault="00B2763C" w:rsidP="00972B22">
      <w:pPr>
        <w:rPr>
          <w:rFonts w:ascii="Arial" w:hAnsi="Arial" w:cs="Arial"/>
          <w:color w:val="000000"/>
          <w:sz w:val="18"/>
          <w:szCs w:val="18"/>
        </w:rPr>
      </w:pPr>
    </w:p>
    <w:p w:rsidR="00FA7582" w:rsidRPr="00FA7582" w:rsidRDefault="001B1C92" w:rsidP="000905D0">
      <w:pPr>
        <w:pStyle w:val="Prrafodelista"/>
        <w:numPr>
          <w:ilvl w:val="0"/>
          <w:numId w:val="1"/>
        </w:numPr>
      </w:pPr>
      <w:r w:rsidRPr="00FA7582">
        <w:lastRenderedPageBreak/>
        <w:t>Clasificación Ranson</w:t>
      </w:r>
      <w:r w:rsidR="00B0316E" w:rsidRPr="00FA7582">
        <w:t xml:space="preserve"> </w:t>
      </w:r>
    </w:p>
    <w:p w:rsidR="000905D0" w:rsidRPr="00FA7582" w:rsidRDefault="00B0316E" w:rsidP="00FA7582">
      <w:pPr>
        <w:ind w:left="360"/>
      </w:pPr>
      <w:r w:rsidRPr="00FA7582">
        <w:t>Score pronóstico en pancreatitis aguda</w:t>
      </w:r>
    </w:p>
    <w:p w:rsidR="001B1C92" w:rsidRDefault="001B1C92" w:rsidP="001B1C92">
      <w:pPr>
        <w:rPr>
          <w:b/>
        </w:rPr>
      </w:pPr>
    </w:p>
    <w:p w:rsidR="001B1C92" w:rsidRDefault="001B1C92" w:rsidP="001B1C92">
      <w:pPr>
        <w:rPr>
          <w:b/>
        </w:rPr>
      </w:pPr>
      <w:r>
        <w:rPr>
          <w:b/>
          <w:noProof/>
          <w:lang w:eastAsia="es-ES"/>
        </w:rPr>
        <w:drawing>
          <wp:inline distT="0" distB="0" distL="0" distR="0">
            <wp:extent cx="5372100" cy="4038337"/>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l="49911" t="34796" r="24515" b="31034"/>
                    <a:stretch>
                      <a:fillRect/>
                    </a:stretch>
                  </pic:blipFill>
                  <pic:spPr bwMode="auto">
                    <a:xfrm>
                      <a:off x="0" y="0"/>
                      <a:ext cx="5372100" cy="4038337"/>
                    </a:xfrm>
                    <a:prstGeom prst="rect">
                      <a:avLst/>
                    </a:prstGeom>
                    <a:noFill/>
                    <a:ln w="9525">
                      <a:noFill/>
                      <a:miter lim="800000"/>
                      <a:headEnd/>
                      <a:tailEnd/>
                    </a:ln>
                  </pic:spPr>
                </pic:pic>
              </a:graphicData>
            </a:graphic>
          </wp:inline>
        </w:drawing>
      </w:r>
    </w:p>
    <w:p w:rsidR="00A16661" w:rsidRDefault="00A16661" w:rsidP="001B1C92">
      <w:pPr>
        <w:rPr>
          <w:b/>
        </w:rPr>
      </w:pPr>
    </w:p>
    <w:p w:rsidR="00A16661" w:rsidRDefault="00A16661" w:rsidP="001B1C92">
      <w:pPr>
        <w:rPr>
          <w:rStyle w:val="fecha-trans"/>
          <w:b/>
          <w:sz w:val="21"/>
          <w:szCs w:val="21"/>
          <w:bdr w:val="none" w:sz="0" w:space="0" w:color="auto" w:frame="1"/>
          <w:shd w:val="clear" w:color="auto" w:fill="F5F5F5"/>
        </w:rPr>
      </w:pPr>
      <w:r w:rsidRPr="00A16661">
        <w:rPr>
          <w:b/>
        </w:rPr>
        <w:t xml:space="preserve">Fuente: </w:t>
      </w:r>
      <w:r w:rsidRPr="00A16661">
        <w:rPr>
          <w:b/>
          <w:szCs w:val="41"/>
        </w:rPr>
        <w:t xml:space="preserve">Estratificación del riesgo: marcadores bioquímicos y escalas pronósticas en la pancreatitis aguda. </w:t>
      </w:r>
      <w:r w:rsidRPr="00A16661">
        <w:rPr>
          <w:b/>
          <w:sz w:val="21"/>
          <w:szCs w:val="21"/>
        </w:rPr>
        <w:t>J. Fernández el al. Rev med intensiva.</w:t>
      </w:r>
      <w:r w:rsidRPr="00A16661">
        <w:rPr>
          <w:b/>
          <w:sz w:val="21"/>
          <w:szCs w:val="21"/>
          <w:bdr w:val="none" w:sz="0" w:space="0" w:color="auto" w:frame="1"/>
          <w:shd w:val="clear" w:color="auto" w:fill="F5F5F5"/>
        </w:rPr>
        <w:t xml:space="preserve"> </w:t>
      </w:r>
      <w:r w:rsidRPr="00A16661">
        <w:rPr>
          <w:rStyle w:val="paginas"/>
          <w:b/>
          <w:sz w:val="21"/>
          <w:szCs w:val="21"/>
          <w:bdr w:val="none" w:sz="0" w:space="0" w:color="auto" w:frame="1"/>
          <w:shd w:val="clear" w:color="auto" w:fill="F5F5F5"/>
        </w:rPr>
        <w:t>páginas 93-100</w:t>
      </w:r>
      <w:r w:rsidRPr="00A16661">
        <w:rPr>
          <w:b/>
          <w:sz w:val="21"/>
          <w:szCs w:val="21"/>
          <w:shd w:val="clear" w:color="auto" w:fill="F5F5F5"/>
        </w:rPr>
        <w:t> </w:t>
      </w:r>
      <w:r w:rsidRPr="00A16661">
        <w:rPr>
          <w:rStyle w:val="fecha-trans"/>
          <w:b/>
          <w:sz w:val="21"/>
          <w:szCs w:val="21"/>
          <w:bdr w:val="none" w:sz="0" w:space="0" w:color="auto" w:frame="1"/>
          <w:shd w:val="clear" w:color="auto" w:fill="F5F5F5"/>
        </w:rPr>
        <w:t>(Febrero 2003)</w:t>
      </w:r>
    </w:p>
    <w:p w:rsidR="00A16661" w:rsidRDefault="00A16661" w:rsidP="001B1C92">
      <w:pPr>
        <w:rPr>
          <w:rStyle w:val="fecha-trans"/>
          <w:b/>
          <w:sz w:val="21"/>
          <w:szCs w:val="21"/>
          <w:bdr w:val="none" w:sz="0" w:space="0" w:color="auto" w:frame="1"/>
          <w:shd w:val="clear" w:color="auto" w:fill="F5F5F5"/>
        </w:rPr>
      </w:pPr>
    </w:p>
    <w:p w:rsidR="00A16661" w:rsidRDefault="00A16661" w:rsidP="001B1C92">
      <w:pPr>
        <w:rPr>
          <w:rStyle w:val="fecha-trans"/>
          <w:b/>
          <w:sz w:val="21"/>
          <w:szCs w:val="21"/>
          <w:bdr w:val="none" w:sz="0" w:space="0" w:color="auto" w:frame="1"/>
          <w:shd w:val="clear" w:color="auto" w:fill="F5F5F5"/>
        </w:rPr>
      </w:pPr>
    </w:p>
    <w:p w:rsidR="00A16661" w:rsidRDefault="00A16661" w:rsidP="001B1C92">
      <w:pPr>
        <w:rPr>
          <w:rStyle w:val="fecha-trans"/>
          <w:b/>
          <w:sz w:val="21"/>
          <w:szCs w:val="21"/>
          <w:bdr w:val="none" w:sz="0" w:space="0" w:color="auto" w:frame="1"/>
          <w:shd w:val="clear" w:color="auto" w:fill="F5F5F5"/>
        </w:rPr>
      </w:pPr>
    </w:p>
    <w:p w:rsidR="00A16661" w:rsidRDefault="00A16661" w:rsidP="001B1C92">
      <w:pPr>
        <w:rPr>
          <w:rStyle w:val="fecha-trans"/>
          <w:b/>
          <w:sz w:val="21"/>
          <w:szCs w:val="21"/>
          <w:bdr w:val="none" w:sz="0" w:space="0" w:color="auto" w:frame="1"/>
          <w:shd w:val="clear" w:color="auto" w:fill="F5F5F5"/>
        </w:rPr>
      </w:pPr>
    </w:p>
    <w:p w:rsidR="00A16661" w:rsidRDefault="00A16661" w:rsidP="001B1C92">
      <w:pPr>
        <w:rPr>
          <w:rStyle w:val="fecha-trans"/>
          <w:b/>
          <w:sz w:val="21"/>
          <w:szCs w:val="21"/>
          <w:bdr w:val="none" w:sz="0" w:space="0" w:color="auto" w:frame="1"/>
          <w:shd w:val="clear" w:color="auto" w:fill="F5F5F5"/>
        </w:rPr>
      </w:pPr>
    </w:p>
    <w:p w:rsidR="00A16661" w:rsidRDefault="00A16661" w:rsidP="001B1C92">
      <w:pPr>
        <w:rPr>
          <w:rStyle w:val="fecha-trans"/>
          <w:b/>
          <w:sz w:val="21"/>
          <w:szCs w:val="21"/>
          <w:bdr w:val="none" w:sz="0" w:space="0" w:color="auto" w:frame="1"/>
          <w:shd w:val="clear" w:color="auto" w:fill="F5F5F5"/>
        </w:rPr>
      </w:pPr>
    </w:p>
    <w:p w:rsidR="00A16661" w:rsidRDefault="00A16661" w:rsidP="001B1C92">
      <w:pPr>
        <w:rPr>
          <w:rStyle w:val="fecha-trans"/>
          <w:b/>
          <w:sz w:val="21"/>
          <w:szCs w:val="21"/>
          <w:bdr w:val="none" w:sz="0" w:space="0" w:color="auto" w:frame="1"/>
          <w:shd w:val="clear" w:color="auto" w:fill="F5F5F5"/>
        </w:rPr>
      </w:pPr>
    </w:p>
    <w:p w:rsidR="00A16661" w:rsidRDefault="00A16661" w:rsidP="001B1C92">
      <w:pPr>
        <w:rPr>
          <w:rStyle w:val="fecha-trans"/>
          <w:b/>
          <w:sz w:val="21"/>
          <w:szCs w:val="21"/>
          <w:bdr w:val="none" w:sz="0" w:space="0" w:color="auto" w:frame="1"/>
          <w:shd w:val="clear" w:color="auto" w:fill="F5F5F5"/>
        </w:rPr>
      </w:pPr>
    </w:p>
    <w:p w:rsidR="00A16661" w:rsidRDefault="00A16661" w:rsidP="001B1C92">
      <w:pPr>
        <w:rPr>
          <w:rStyle w:val="fecha-trans"/>
          <w:b/>
          <w:sz w:val="21"/>
          <w:szCs w:val="21"/>
          <w:bdr w:val="none" w:sz="0" w:space="0" w:color="auto" w:frame="1"/>
          <w:shd w:val="clear" w:color="auto" w:fill="F5F5F5"/>
        </w:rPr>
      </w:pPr>
    </w:p>
    <w:p w:rsidR="00A16661" w:rsidRDefault="00A16661" w:rsidP="001B1C92">
      <w:pPr>
        <w:rPr>
          <w:rStyle w:val="fecha-trans"/>
          <w:b/>
          <w:sz w:val="21"/>
          <w:szCs w:val="21"/>
          <w:bdr w:val="none" w:sz="0" w:space="0" w:color="auto" w:frame="1"/>
          <w:shd w:val="clear" w:color="auto" w:fill="F5F5F5"/>
        </w:rPr>
      </w:pPr>
    </w:p>
    <w:p w:rsidR="00A16661" w:rsidRDefault="00A16661" w:rsidP="001B1C92">
      <w:pPr>
        <w:rPr>
          <w:rStyle w:val="fecha-trans"/>
          <w:b/>
          <w:sz w:val="21"/>
          <w:szCs w:val="21"/>
          <w:bdr w:val="none" w:sz="0" w:space="0" w:color="auto" w:frame="1"/>
          <w:shd w:val="clear" w:color="auto" w:fill="F5F5F5"/>
        </w:rPr>
      </w:pPr>
    </w:p>
    <w:p w:rsidR="00A16661" w:rsidRDefault="00A16661"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B2763C" w:rsidRDefault="00B2763C"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46BB9" w:rsidRDefault="00F46BB9" w:rsidP="001B1C92">
      <w:pPr>
        <w:rPr>
          <w:rStyle w:val="fecha-trans"/>
          <w:b/>
          <w:sz w:val="21"/>
          <w:szCs w:val="21"/>
          <w:bdr w:val="none" w:sz="0" w:space="0" w:color="auto" w:frame="1"/>
          <w:shd w:val="clear" w:color="auto" w:fill="F5F5F5"/>
        </w:rPr>
      </w:pPr>
    </w:p>
    <w:p w:rsidR="00FA7582" w:rsidRPr="00FA7582" w:rsidRDefault="00A16661" w:rsidP="00A16661">
      <w:pPr>
        <w:pStyle w:val="Prrafodelista"/>
        <w:numPr>
          <w:ilvl w:val="0"/>
          <w:numId w:val="1"/>
        </w:numPr>
      </w:pPr>
      <w:r w:rsidRPr="00FA7582">
        <w:lastRenderedPageBreak/>
        <w:t>Clasificación de Strasberg</w:t>
      </w:r>
      <w:r w:rsidR="00B0316E" w:rsidRPr="00FA7582">
        <w:t xml:space="preserve"> </w:t>
      </w:r>
    </w:p>
    <w:p w:rsidR="00A16661" w:rsidRPr="00FA7582" w:rsidRDefault="00B0316E" w:rsidP="00FA7582">
      <w:pPr>
        <w:ind w:left="360"/>
      </w:pPr>
      <w:r w:rsidRPr="00FA7582">
        <w:t>Score de lesión de via biliar</w:t>
      </w:r>
    </w:p>
    <w:p w:rsidR="00A16661" w:rsidRDefault="00A16661" w:rsidP="00A16661">
      <w:pPr>
        <w:rPr>
          <w:b/>
        </w:rPr>
      </w:pPr>
    </w:p>
    <w:p w:rsidR="00A16661" w:rsidRDefault="00A16661" w:rsidP="00A16661">
      <w:pPr>
        <w:rPr>
          <w:b/>
        </w:rPr>
      </w:pPr>
      <w:r>
        <w:rPr>
          <w:b/>
          <w:noProof/>
          <w:lang w:eastAsia="es-ES"/>
        </w:rPr>
        <w:drawing>
          <wp:inline distT="0" distB="0" distL="0" distR="0">
            <wp:extent cx="5019675" cy="3696660"/>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23457" t="46395" r="53792" b="23824"/>
                    <a:stretch>
                      <a:fillRect/>
                    </a:stretch>
                  </pic:blipFill>
                  <pic:spPr bwMode="auto">
                    <a:xfrm>
                      <a:off x="0" y="0"/>
                      <a:ext cx="5019675" cy="3696660"/>
                    </a:xfrm>
                    <a:prstGeom prst="rect">
                      <a:avLst/>
                    </a:prstGeom>
                    <a:noFill/>
                    <a:ln w="9525">
                      <a:noFill/>
                      <a:miter lim="800000"/>
                      <a:headEnd/>
                      <a:tailEnd/>
                    </a:ln>
                  </pic:spPr>
                </pic:pic>
              </a:graphicData>
            </a:graphic>
          </wp:inline>
        </w:drawing>
      </w:r>
    </w:p>
    <w:p w:rsidR="00A16661" w:rsidRDefault="00A16661" w:rsidP="00A16661">
      <w:pPr>
        <w:rPr>
          <w:b/>
        </w:rPr>
      </w:pPr>
    </w:p>
    <w:p w:rsidR="00A16661" w:rsidRPr="00A16661" w:rsidRDefault="00A16661" w:rsidP="00A16661">
      <w:pPr>
        <w:rPr>
          <w:b/>
          <w:lang w:eastAsia="es-ES"/>
        </w:rPr>
      </w:pPr>
      <w:r w:rsidRPr="004A7103">
        <w:rPr>
          <w:b/>
        </w:rPr>
        <w:t xml:space="preserve">Fuente: Tratamiento de pacientes con lesiones graves de la vía biliar. González et al. Elsevier </w:t>
      </w:r>
      <w:hyperlink r:id="rId16" w:history="1">
        <w:r w:rsidRPr="004A7103">
          <w:rPr>
            <w:b/>
            <w:lang w:eastAsia="es-ES"/>
          </w:rPr>
          <w:t>Vol. 84. Núm. 1.</w:t>
        </w:r>
      </w:hyperlink>
      <w:r w:rsidRPr="004A7103">
        <w:rPr>
          <w:b/>
          <w:lang w:eastAsia="es-ES"/>
        </w:rPr>
        <w:t>páginas 20-27</w:t>
      </w:r>
      <w:r w:rsidRPr="00A16661">
        <w:rPr>
          <w:b/>
          <w:lang w:eastAsia="es-ES"/>
        </w:rPr>
        <w:t> </w:t>
      </w:r>
      <w:r w:rsidRPr="004A7103">
        <w:rPr>
          <w:b/>
          <w:lang w:eastAsia="es-ES"/>
        </w:rPr>
        <w:t>(Julio 2008)</w:t>
      </w:r>
    </w:p>
    <w:p w:rsidR="00A16661" w:rsidRDefault="00A16661" w:rsidP="00A16661">
      <w:pPr>
        <w:rPr>
          <w:b/>
        </w:rPr>
      </w:pPr>
    </w:p>
    <w:p w:rsidR="00034FEB" w:rsidRDefault="00034FEB" w:rsidP="00A16661">
      <w:pPr>
        <w:rPr>
          <w:b/>
        </w:rPr>
      </w:pPr>
    </w:p>
    <w:p w:rsidR="00034FEB" w:rsidRDefault="00034FEB" w:rsidP="00A16661">
      <w:pPr>
        <w:rPr>
          <w:b/>
        </w:rPr>
      </w:pPr>
    </w:p>
    <w:p w:rsidR="00034FEB" w:rsidRDefault="00034FEB" w:rsidP="00A16661">
      <w:pPr>
        <w:rPr>
          <w:b/>
        </w:rPr>
      </w:pPr>
    </w:p>
    <w:p w:rsidR="00034FEB" w:rsidRDefault="00034FEB" w:rsidP="00A16661">
      <w:pPr>
        <w:rPr>
          <w:b/>
        </w:rPr>
      </w:pPr>
    </w:p>
    <w:p w:rsidR="00034FEB" w:rsidRDefault="00034FEB" w:rsidP="00A16661">
      <w:pPr>
        <w:rPr>
          <w:b/>
        </w:rPr>
      </w:pPr>
    </w:p>
    <w:p w:rsidR="00034FEB" w:rsidRDefault="00034FEB" w:rsidP="00A16661">
      <w:pPr>
        <w:rPr>
          <w:b/>
        </w:rPr>
      </w:pPr>
    </w:p>
    <w:p w:rsidR="00034FEB" w:rsidRDefault="00034FEB" w:rsidP="00A16661">
      <w:pPr>
        <w:rPr>
          <w:b/>
        </w:rPr>
      </w:pPr>
    </w:p>
    <w:p w:rsidR="00034FEB" w:rsidRDefault="00034FEB" w:rsidP="00A16661">
      <w:pPr>
        <w:rPr>
          <w:b/>
        </w:rPr>
      </w:pPr>
    </w:p>
    <w:p w:rsidR="00034FEB" w:rsidRDefault="00034FEB" w:rsidP="00A16661">
      <w:pPr>
        <w:rPr>
          <w:b/>
        </w:rPr>
      </w:pPr>
    </w:p>
    <w:p w:rsidR="00034FEB" w:rsidRDefault="00034FEB" w:rsidP="00A16661">
      <w:pPr>
        <w:rPr>
          <w:b/>
        </w:rPr>
      </w:pPr>
    </w:p>
    <w:p w:rsidR="00034FEB" w:rsidRDefault="00034FEB" w:rsidP="00A16661">
      <w:pPr>
        <w:rPr>
          <w:b/>
        </w:rPr>
      </w:pPr>
    </w:p>
    <w:p w:rsidR="00034FEB" w:rsidRDefault="00034FEB"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A21F6A" w:rsidRPr="00FA7582" w:rsidRDefault="00A21F6A" w:rsidP="00F46BB9">
      <w:pPr>
        <w:pStyle w:val="Prrafodelista"/>
        <w:numPr>
          <w:ilvl w:val="0"/>
          <w:numId w:val="1"/>
        </w:numPr>
      </w:pPr>
      <w:r w:rsidRPr="00FA7582">
        <w:lastRenderedPageBreak/>
        <w:t>Severidad TG13</w:t>
      </w:r>
      <w:r w:rsidR="00B0316E" w:rsidRPr="00FA7582">
        <w:t xml:space="preserve"> </w:t>
      </w:r>
    </w:p>
    <w:p w:rsidR="00A21F6A" w:rsidRDefault="00A21F6A" w:rsidP="00A21F6A">
      <w:pPr>
        <w:pStyle w:val="NormalWeb"/>
        <w:shd w:val="clear" w:color="auto" w:fill="FFFFFF"/>
        <w:spacing w:before="0" w:beforeAutospacing="0" w:after="0" w:afterAutospacing="0"/>
        <w:textAlignment w:val="baseline"/>
        <w:rPr>
          <w:rFonts w:ascii="Helvetica Neue" w:hAnsi="Helvetica Neue"/>
          <w:color w:val="373737"/>
          <w:sz w:val="23"/>
          <w:szCs w:val="23"/>
        </w:rPr>
      </w:pPr>
      <w:r>
        <w:rPr>
          <w:rStyle w:val="Textoennegrita"/>
          <w:rFonts w:ascii="inherit" w:hAnsi="inherit"/>
          <w:color w:val="373737"/>
          <w:sz w:val="23"/>
          <w:szCs w:val="23"/>
          <w:bdr w:val="none" w:sz="0" w:space="0" w:color="auto" w:frame="1"/>
        </w:rPr>
        <w:t>Criterios Diagnóstico TG18/TG13 para Colangitis Aguda</w:t>
      </w:r>
    </w:p>
    <w:p w:rsidR="00A21F6A" w:rsidRDefault="00A21F6A" w:rsidP="00A21F6A">
      <w:pPr>
        <w:pStyle w:val="NormalWeb"/>
        <w:shd w:val="clear" w:color="auto" w:fill="FFFFFF"/>
        <w:spacing w:before="0" w:beforeAutospacing="0" w:after="390" w:afterAutospacing="0"/>
        <w:textAlignment w:val="baseline"/>
        <w:rPr>
          <w:rFonts w:ascii="Helvetica Neue" w:hAnsi="Helvetica Neue"/>
          <w:color w:val="373737"/>
          <w:sz w:val="23"/>
          <w:szCs w:val="23"/>
        </w:rPr>
      </w:pPr>
      <w:r>
        <w:rPr>
          <w:rFonts w:ascii="Helvetica Neue" w:hAnsi="Helvetica Neue"/>
          <w:color w:val="373737"/>
          <w:sz w:val="23"/>
          <w:szCs w:val="23"/>
        </w:rPr>
        <w:t>A. Inflamación sistémica.</w:t>
      </w:r>
      <w:r>
        <w:rPr>
          <w:rFonts w:ascii="Helvetica Neue" w:hAnsi="Helvetica Neue"/>
          <w:color w:val="373737"/>
          <w:sz w:val="23"/>
          <w:szCs w:val="23"/>
        </w:rPr>
        <w:br/>
        <w:t>A‐1. Fiebre y/o escalofríos</w:t>
      </w:r>
      <w:r>
        <w:rPr>
          <w:rFonts w:ascii="Helvetica Neue" w:hAnsi="Helvetica Neue"/>
          <w:color w:val="373737"/>
          <w:sz w:val="23"/>
          <w:szCs w:val="23"/>
        </w:rPr>
        <w:br/>
        <w:t>A‐2. Datos de laboratorio: evidencia de respuesta inflamatoria.</w:t>
      </w:r>
    </w:p>
    <w:p w:rsidR="00A21F6A" w:rsidRDefault="00A21F6A" w:rsidP="00A21F6A">
      <w:pPr>
        <w:pStyle w:val="NormalWeb"/>
        <w:shd w:val="clear" w:color="auto" w:fill="FFFFFF"/>
        <w:spacing w:before="0" w:beforeAutospacing="0" w:after="390" w:afterAutospacing="0"/>
        <w:textAlignment w:val="baseline"/>
        <w:rPr>
          <w:rFonts w:ascii="Helvetica Neue" w:hAnsi="Helvetica Neue"/>
          <w:color w:val="373737"/>
          <w:sz w:val="23"/>
          <w:szCs w:val="23"/>
        </w:rPr>
      </w:pPr>
      <w:r>
        <w:rPr>
          <w:rFonts w:ascii="Helvetica Neue" w:hAnsi="Helvetica Neue"/>
          <w:color w:val="373737"/>
          <w:sz w:val="23"/>
          <w:szCs w:val="23"/>
        </w:rPr>
        <w:t>B. Colestasis</w:t>
      </w:r>
      <w:r>
        <w:rPr>
          <w:rFonts w:ascii="Helvetica Neue" w:hAnsi="Helvetica Neue"/>
          <w:color w:val="373737"/>
          <w:sz w:val="23"/>
          <w:szCs w:val="23"/>
        </w:rPr>
        <w:br/>
        <w:t>B‐1. Ictericia</w:t>
      </w:r>
      <w:r>
        <w:rPr>
          <w:rFonts w:ascii="Helvetica Neue" w:hAnsi="Helvetica Neue"/>
          <w:color w:val="373737"/>
          <w:sz w:val="23"/>
          <w:szCs w:val="23"/>
        </w:rPr>
        <w:br/>
        <w:t>B‐2. Datos de laboratorio: pruebas anormales de función hepática.</w:t>
      </w:r>
    </w:p>
    <w:p w:rsidR="00A21F6A" w:rsidRDefault="00A21F6A" w:rsidP="00A21F6A">
      <w:pPr>
        <w:pStyle w:val="NormalWeb"/>
        <w:shd w:val="clear" w:color="auto" w:fill="FFFFFF"/>
        <w:spacing w:before="0" w:beforeAutospacing="0" w:after="390" w:afterAutospacing="0"/>
        <w:textAlignment w:val="baseline"/>
        <w:rPr>
          <w:rFonts w:ascii="Helvetica Neue" w:hAnsi="Helvetica Neue"/>
          <w:color w:val="373737"/>
          <w:sz w:val="23"/>
          <w:szCs w:val="23"/>
        </w:rPr>
      </w:pPr>
      <w:r>
        <w:rPr>
          <w:rFonts w:ascii="Helvetica Neue" w:hAnsi="Helvetica Neue"/>
          <w:color w:val="373737"/>
          <w:sz w:val="23"/>
          <w:szCs w:val="23"/>
        </w:rPr>
        <w:t>C. Imágenes</w:t>
      </w:r>
      <w:r>
        <w:rPr>
          <w:rFonts w:ascii="Helvetica Neue" w:hAnsi="Helvetica Neue"/>
          <w:color w:val="373737"/>
          <w:sz w:val="23"/>
          <w:szCs w:val="23"/>
        </w:rPr>
        <w:br/>
        <w:t>C‐1. Dilatación biliar</w:t>
      </w:r>
      <w:r>
        <w:rPr>
          <w:rFonts w:ascii="Helvetica Neue" w:hAnsi="Helvetica Neue"/>
          <w:color w:val="373737"/>
          <w:sz w:val="23"/>
          <w:szCs w:val="23"/>
        </w:rPr>
        <w:br/>
        <w:t>C‐2. Evidencia de la etiología en la imagen (estenosis, cálculos, stent, etc.)</w:t>
      </w:r>
    </w:p>
    <w:p w:rsidR="00A21F6A" w:rsidRDefault="00A21F6A" w:rsidP="00A21F6A">
      <w:pPr>
        <w:pStyle w:val="NormalWeb"/>
        <w:shd w:val="clear" w:color="auto" w:fill="FFFFFF"/>
        <w:spacing w:before="0" w:beforeAutospacing="0" w:after="0" w:afterAutospacing="0"/>
        <w:textAlignment w:val="baseline"/>
        <w:rPr>
          <w:rFonts w:ascii="Helvetica Neue" w:hAnsi="Helvetica Neue"/>
          <w:color w:val="373737"/>
          <w:sz w:val="23"/>
          <w:szCs w:val="23"/>
        </w:rPr>
      </w:pPr>
      <w:r>
        <w:rPr>
          <w:rStyle w:val="Textoennegrita"/>
          <w:rFonts w:ascii="inherit" w:hAnsi="inherit"/>
          <w:color w:val="373737"/>
          <w:sz w:val="23"/>
          <w:szCs w:val="23"/>
          <w:bdr w:val="none" w:sz="0" w:space="0" w:color="auto" w:frame="1"/>
        </w:rPr>
        <w:t>Sospecha diagnóstica:</w:t>
      </w:r>
      <w:r>
        <w:rPr>
          <w:rFonts w:ascii="Helvetica Neue" w:hAnsi="Helvetica Neue"/>
          <w:color w:val="373737"/>
          <w:sz w:val="23"/>
          <w:szCs w:val="23"/>
        </w:rPr>
        <w:t> un ítem en A + un ítem en B o C</w:t>
      </w:r>
      <w:r>
        <w:rPr>
          <w:rFonts w:ascii="Helvetica Neue" w:hAnsi="Helvetica Neue"/>
          <w:color w:val="373737"/>
          <w:sz w:val="23"/>
          <w:szCs w:val="23"/>
        </w:rPr>
        <w:br/>
      </w:r>
      <w:r>
        <w:rPr>
          <w:rStyle w:val="Textoennegrita"/>
          <w:rFonts w:ascii="inherit" w:hAnsi="inherit"/>
          <w:color w:val="373737"/>
          <w:sz w:val="23"/>
          <w:szCs w:val="23"/>
          <w:bdr w:val="none" w:sz="0" w:space="0" w:color="auto" w:frame="1"/>
        </w:rPr>
        <w:t>Diagnóstico definitivo:</w:t>
      </w:r>
      <w:r>
        <w:rPr>
          <w:rFonts w:ascii="Helvetica Neue" w:hAnsi="Helvetica Neue"/>
          <w:color w:val="373737"/>
          <w:sz w:val="23"/>
          <w:szCs w:val="23"/>
        </w:rPr>
        <w:t> un ítem en A, un ítem en B y un ítem en C</w:t>
      </w:r>
    </w:p>
    <w:p w:rsidR="00A21F6A" w:rsidRDefault="00A21F6A" w:rsidP="00A16661">
      <w:pPr>
        <w:rPr>
          <w:b/>
        </w:rPr>
      </w:pPr>
    </w:p>
    <w:p w:rsidR="00A21F6A" w:rsidRDefault="00A21F6A" w:rsidP="00A21F6A">
      <w:pPr>
        <w:pStyle w:val="NormalWeb"/>
        <w:shd w:val="clear" w:color="auto" w:fill="FFFFFF"/>
        <w:spacing w:before="0" w:beforeAutospacing="0" w:after="0" w:afterAutospacing="0"/>
        <w:textAlignment w:val="baseline"/>
        <w:rPr>
          <w:rFonts w:ascii="Helvetica Neue" w:hAnsi="Helvetica Neue"/>
          <w:color w:val="373737"/>
          <w:sz w:val="23"/>
          <w:szCs w:val="23"/>
        </w:rPr>
      </w:pPr>
      <w:r>
        <w:rPr>
          <w:rStyle w:val="Textoennegrita"/>
          <w:rFonts w:ascii="inherit" w:hAnsi="inherit"/>
          <w:color w:val="373737"/>
          <w:sz w:val="23"/>
          <w:szCs w:val="23"/>
          <w:bdr w:val="none" w:sz="0" w:space="0" w:color="auto" w:frame="1"/>
        </w:rPr>
        <w:t>Nota:</w:t>
      </w:r>
    </w:p>
    <w:p w:rsidR="00A21F6A" w:rsidRDefault="00A21F6A" w:rsidP="00A21F6A">
      <w:pPr>
        <w:pStyle w:val="NormalWeb"/>
        <w:shd w:val="clear" w:color="auto" w:fill="FFFFFF"/>
        <w:spacing w:before="0" w:beforeAutospacing="0" w:after="390" w:afterAutospacing="0"/>
        <w:textAlignment w:val="baseline"/>
        <w:rPr>
          <w:rFonts w:ascii="Helvetica Neue" w:hAnsi="Helvetica Neue"/>
          <w:color w:val="373737"/>
          <w:sz w:val="23"/>
          <w:szCs w:val="23"/>
        </w:rPr>
      </w:pPr>
      <w:r>
        <w:rPr>
          <w:rFonts w:ascii="Helvetica Neue" w:hAnsi="Helvetica Neue"/>
          <w:color w:val="373737"/>
          <w:sz w:val="23"/>
          <w:szCs w:val="23"/>
        </w:rPr>
        <w:t>A‐2: Recuentos anormales de glóbulos blancos, aumento de los niveles séricos de proteína C-reactiva y otros cambios que indican inflamación</w:t>
      </w:r>
    </w:p>
    <w:p w:rsidR="00A21F6A" w:rsidRDefault="00A21F6A" w:rsidP="00A21F6A">
      <w:pPr>
        <w:pStyle w:val="NormalWeb"/>
        <w:shd w:val="clear" w:color="auto" w:fill="FFFFFF"/>
        <w:spacing w:before="0" w:beforeAutospacing="0" w:after="390" w:afterAutospacing="0"/>
        <w:textAlignment w:val="baseline"/>
        <w:rPr>
          <w:rFonts w:ascii="Helvetica Neue" w:hAnsi="Helvetica Neue"/>
          <w:color w:val="373737"/>
          <w:sz w:val="23"/>
          <w:szCs w:val="23"/>
        </w:rPr>
      </w:pPr>
      <w:r>
        <w:rPr>
          <w:rFonts w:ascii="Helvetica Neue" w:hAnsi="Helvetica Neue"/>
          <w:color w:val="373737"/>
          <w:sz w:val="23"/>
          <w:szCs w:val="23"/>
        </w:rPr>
        <w:t>B‐2: aumento de los niveles séricos de FAL, r-GTP (GGT), GOT y GPT</w:t>
      </w:r>
    </w:p>
    <w:p w:rsidR="00A21F6A" w:rsidRPr="00A21F6A" w:rsidRDefault="00A21F6A" w:rsidP="00A21F6A">
      <w:pPr>
        <w:shd w:val="clear" w:color="auto" w:fill="FFFFFF"/>
        <w:textAlignment w:val="baseline"/>
        <w:rPr>
          <w:rFonts w:ascii="Helvetica Neue" w:hAnsi="Helvetica Neue"/>
          <w:color w:val="373737"/>
          <w:sz w:val="23"/>
          <w:szCs w:val="23"/>
        </w:rPr>
      </w:pPr>
      <w:r w:rsidRPr="00A21F6A">
        <w:rPr>
          <w:rFonts w:ascii="inherit" w:hAnsi="inherit"/>
          <w:b/>
          <w:bCs/>
          <w:color w:val="373737"/>
          <w:sz w:val="23"/>
          <w:szCs w:val="23"/>
          <w:bdr w:val="none" w:sz="0" w:space="0" w:color="auto" w:frame="1"/>
        </w:rPr>
        <w:t>Umbrales:</w:t>
      </w:r>
      <w:r w:rsidRPr="00A21F6A">
        <w:rPr>
          <w:rFonts w:ascii="Helvetica Neue" w:hAnsi="Helvetica Neue"/>
          <w:color w:val="373737"/>
          <w:sz w:val="23"/>
          <w:szCs w:val="23"/>
        </w:rPr>
        <w:br/>
        <w:t>A‐1 Fiebre: T° &gt;38 °C</w:t>
      </w:r>
      <w:r w:rsidRPr="00A21F6A">
        <w:rPr>
          <w:rFonts w:ascii="Helvetica Neue" w:hAnsi="Helvetica Neue"/>
          <w:color w:val="373737"/>
          <w:sz w:val="23"/>
          <w:szCs w:val="23"/>
        </w:rPr>
        <w:br/>
        <w:t>A‐2 Evidencia de respuesta inflamatoria: recuento de leucocitos (× 1,000 / μL) &lt;4 o &gt;10; PCR (mg/dL) ≥1</w:t>
      </w:r>
      <w:r w:rsidRPr="00A21F6A">
        <w:rPr>
          <w:rFonts w:ascii="Helvetica Neue" w:hAnsi="Helvetica Neue"/>
          <w:color w:val="373737"/>
          <w:sz w:val="23"/>
          <w:szCs w:val="23"/>
        </w:rPr>
        <w:br/>
        <w:t>B‐1 Ictericia: Bil-T  ≥2 (mg/dL)</w:t>
      </w:r>
      <w:r w:rsidRPr="00A21F6A">
        <w:rPr>
          <w:rFonts w:ascii="Helvetica Neue" w:hAnsi="Helvetica Neue"/>
          <w:color w:val="373737"/>
          <w:sz w:val="23"/>
          <w:szCs w:val="23"/>
        </w:rPr>
        <w:br/>
        <w:t>B‐2 Pruebas anormales de la función hepática:</w:t>
      </w:r>
    </w:p>
    <w:p w:rsidR="00A21F6A" w:rsidRPr="00A21F6A" w:rsidRDefault="00A21F6A" w:rsidP="00A21F6A">
      <w:pPr>
        <w:numPr>
          <w:ilvl w:val="0"/>
          <w:numId w:val="3"/>
        </w:numPr>
        <w:shd w:val="clear" w:color="auto" w:fill="FFFFFF"/>
        <w:ind w:left="600"/>
        <w:textAlignment w:val="baseline"/>
        <w:rPr>
          <w:rFonts w:ascii="inherit" w:hAnsi="inherit"/>
          <w:color w:val="373737"/>
          <w:sz w:val="23"/>
          <w:szCs w:val="23"/>
        </w:rPr>
      </w:pPr>
      <w:r w:rsidRPr="00A21F6A">
        <w:rPr>
          <w:rFonts w:ascii="inherit" w:hAnsi="inherit"/>
          <w:color w:val="373737"/>
          <w:sz w:val="23"/>
          <w:szCs w:val="23"/>
        </w:rPr>
        <w:t>FAL (UI) &gt; 1.5 × LSN*</w:t>
      </w:r>
    </w:p>
    <w:p w:rsidR="00A21F6A" w:rsidRPr="00A21F6A" w:rsidRDefault="00A21F6A" w:rsidP="00A21F6A">
      <w:pPr>
        <w:numPr>
          <w:ilvl w:val="0"/>
          <w:numId w:val="3"/>
        </w:numPr>
        <w:shd w:val="clear" w:color="auto" w:fill="FFFFFF"/>
        <w:ind w:left="600"/>
        <w:textAlignment w:val="baseline"/>
        <w:rPr>
          <w:rFonts w:ascii="inherit" w:hAnsi="inherit"/>
          <w:color w:val="373737"/>
          <w:sz w:val="23"/>
          <w:szCs w:val="23"/>
        </w:rPr>
      </w:pPr>
      <w:r w:rsidRPr="00A21F6A">
        <w:rPr>
          <w:rFonts w:ascii="inherit" w:hAnsi="inherit"/>
          <w:color w:val="373737"/>
          <w:sz w:val="23"/>
          <w:szCs w:val="23"/>
        </w:rPr>
        <w:t>γGTP (UI) &gt; 1.5 × LSN*</w:t>
      </w:r>
    </w:p>
    <w:p w:rsidR="00A21F6A" w:rsidRPr="00A21F6A" w:rsidRDefault="00A21F6A" w:rsidP="00A21F6A">
      <w:pPr>
        <w:numPr>
          <w:ilvl w:val="0"/>
          <w:numId w:val="3"/>
        </w:numPr>
        <w:shd w:val="clear" w:color="auto" w:fill="FFFFFF"/>
        <w:ind w:left="600"/>
        <w:textAlignment w:val="baseline"/>
        <w:rPr>
          <w:rFonts w:ascii="inherit" w:hAnsi="inherit"/>
          <w:color w:val="373737"/>
          <w:sz w:val="23"/>
          <w:szCs w:val="23"/>
        </w:rPr>
      </w:pPr>
      <w:r w:rsidRPr="00A21F6A">
        <w:rPr>
          <w:rFonts w:ascii="inherit" w:hAnsi="inherit"/>
          <w:color w:val="373737"/>
          <w:sz w:val="23"/>
          <w:szCs w:val="23"/>
        </w:rPr>
        <w:t>GOT (UI) &gt; 1.5 × LSN*</w:t>
      </w:r>
    </w:p>
    <w:p w:rsidR="00A21F6A" w:rsidRPr="00A21F6A" w:rsidRDefault="00A21F6A" w:rsidP="00A21F6A">
      <w:pPr>
        <w:numPr>
          <w:ilvl w:val="0"/>
          <w:numId w:val="3"/>
        </w:numPr>
        <w:shd w:val="clear" w:color="auto" w:fill="FFFFFF"/>
        <w:ind w:left="600"/>
        <w:textAlignment w:val="baseline"/>
        <w:rPr>
          <w:rFonts w:ascii="inherit" w:hAnsi="inherit"/>
          <w:color w:val="373737"/>
          <w:sz w:val="23"/>
          <w:szCs w:val="23"/>
        </w:rPr>
      </w:pPr>
      <w:r w:rsidRPr="00A21F6A">
        <w:rPr>
          <w:rFonts w:ascii="inherit" w:hAnsi="inherit"/>
          <w:color w:val="373737"/>
          <w:sz w:val="23"/>
          <w:szCs w:val="23"/>
        </w:rPr>
        <w:t>GPT (UI) &gt; 1.5 × LSN*</w:t>
      </w:r>
    </w:p>
    <w:p w:rsidR="00A21F6A" w:rsidRDefault="00A21F6A" w:rsidP="00A16661">
      <w:pPr>
        <w:rPr>
          <w:b/>
        </w:rPr>
      </w:pPr>
    </w:p>
    <w:p w:rsidR="00A21F6A" w:rsidRPr="00A21F6A" w:rsidRDefault="00A21F6A" w:rsidP="00A21F6A">
      <w:r>
        <w:rPr>
          <w:rFonts w:ascii="Helvetica Neue" w:hAnsi="Helvetica Neue"/>
          <w:color w:val="373737"/>
          <w:sz w:val="23"/>
          <w:szCs w:val="23"/>
          <w:shd w:val="clear" w:color="auto" w:fill="FFFFFF"/>
        </w:rPr>
        <w:t xml:space="preserve">Fuentes: </w:t>
      </w:r>
      <w:r w:rsidRPr="00A21F6A">
        <w:rPr>
          <w:rFonts w:ascii="Helvetica Neue" w:hAnsi="Helvetica Neue"/>
          <w:color w:val="373737"/>
          <w:sz w:val="23"/>
          <w:szCs w:val="23"/>
          <w:shd w:val="clear" w:color="auto" w:fill="FFFFFF"/>
        </w:rPr>
        <w:t>Gravito-Soares E, Gravito-Soares M, Gomes D, Almeida N, Tomé L. Clinical applicability of Tokyo guidelines 2018/2013 in diagnosis and severity evaluation of acute cholangitis and determination of a new severity model. Scand J Gastroenterol. 2018 Mar;53(3):329-334.</w:t>
      </w:r>
    </w:p>
    <w:p w:rsidR="00A21F6A" w:rsidRPr="00A21F6A" w:rsidRDefault="00A21F6A" w:rsidP="00A21F6A">
      <w:r w:rsidRPr="00A21F6A">
        <w:rPr>
          <w:rFonts w:ascii="Helvetica Neue" w:hAnsi="Helvetica Neue"/>
          <w:color w:val="373737"/>
          <w:sz w:val="23"/>
          <w:szCs w:val="23"/>
          <w:shd w:val="clear" w:color="auto" w:fill="FFFFFF"/>
        </w:rPr>
        <w:t>Kiriyama S, Kozaka K, Takada T, Strasberg SM, Pitt HA, Gabata T, Hata J, Liau KH, Miura F, Horiguchi A, Liu KH, Su CH, Wada K, Jagannath P, Itoi T, Gouma DJ, Mori Y, Mukai S, Giménez ME, Huang WS, Kim MH, Okamoto K, Belli G, Dervenis C, Chan ACW, Lau WY, Endo I, Gomi H, Yoshida M, Mayumi T, Baron TH, de Santibañes E, Teoh AYB, Hwang TL, Ker CG, Chen MF, Han HS, Yoon YS, Choi IS, Yoon DS, Higuchi R, Kitano S, Inomata M, Deziel DJ, Jonas E, Hirata K, Sumiyama Y, Inui K, Yamamoto M. Tokyo Guidelines 2018: diagnostic criteria and severity grading of acute cholangitis (with videos). J Hepatobiliary Pancreat Sci. 2018 Jan;25(1):17-30.</w:t>
      </w: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B2763C" w:rsidRDefault="00B2763C" w:rsidP="00A16661">
      <w:pPr>
        <w:rPr>
          <w:b/>
        </w:rPr>
      </w:pPr>
    </w:p>
    <w:p w:rsidR="00F46BB9" w:rsidRDefault="00F46BB9" w:rsidP="00A16661">
      <w:pPr>
        <w:rPr>
          <w:b/>
        </w:rPr>
      </w:pPr>
    </w:p>
    <w:p w:rsidR="00F46BB9" w:rsidRDefault="00F46BB9" w:rsidP="00A16661">
      <w:pPr>
        <w:rPr>
          <w:b/>
        </w:rPr>
      </w:pPr>
    </w:p>
    <w:p w:rsidR="00A21F6A" w:rsidRPr="00FA7582" w:rsidRDefault="007A3449" w:rsidP="00B0316E">
      <w:pPr>
        <w:pStyle w:val="Prrafodelista"/>
        <w:numPr>
          <w:ilvl w:val="0"/>
          <w:numId w:val="1"/>
        </w:numPr>
      </w:pPr>
      <w:r w:rsidRPr="00FA7582">
        <w:lastRenderedPageBreak/>
        <w:t xml:space="preserve">Predictores Clínicos de coledocolitiasis ASGE </w:t>
      </w:r>
    </w:p>
    <w:p w:rsidR="007A3449" w:rsidRDefault="007A3449" w:rsidP="007A3449">
      <w:pPr>
        <w:rPr>
          <w:b/>
        </w:rPr>
      </w:pPr>
    </w:p>
    <w:p w:rsidR="007A3449" w:rsidRDefault="007A3449" w:rsidP="007A3449">
      <w:pPr>
        <w:rPr>
          <w:b/>
        </w:rPr>
      </w:pPr>
    </w:p>
    <w:p w:rsidR="007A3449" w:rsidRDefault="007A3449" w:rsidP="007A3449">
      <w:pPr>
        <w:rPr>
          <w:b/>
        </w:rPr>
      </w:pPr>
      <w:r>
        <w:rPr>
          <w:b/>
          <w:noProof/>
        </w:rPr>
        <w:drawing>
          <wp:inline distT="0" distB="0" distL="0" distR="0">
            <wp:extent cx="5334000" cy="4876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19-10-14 a la(s) 20.34.55.png"/>
                    <pic:cNvPicPr/>
                  </pic:nvPicPr>
                  <pic:blipFill>
                    <a:blip r:embed="rId17">
                      <a:extLst>
                        <a:ext uri="{28A0092B-C50C-407E-A947-70E740481C1C}">
                          <a14:useLocalDpi xmlns:a14="http://schemas.microsoft.com/office/drawing/2010/main" val="0"/>
                        </a:ext>
                      </a:extLst>
                    </a:blip>
                    <a:stretch>
                      <a:fillRect/>
                    </a:stretch>
                  </pic:blipFill>
                  <pic:spPr>
                    <a:xfrm>
                      <a:off x="0" y="0"/>
                      <a:ext cx="5334000" cy="4876800"/>
                    </a:xfrm>
                    <a:prstGeom prst="rect">
                      <a:avLst/>
                    </a:prstGeom>
                  </pic:spPr>
                </pic:pic>
              </a:graphicData>
            </a:graphic>
          </wp:inline>
        </w:drawing>
      </w:r>
    </w:p>
    <w:p w:rsidR="007A3449" w:rsidRPr="007A3449" w:rsidRDefault="007A3449" w:rsidP="007A3449">
      <w:pPr>
        <w:shd w:val="clear" w:color="auto" w:fill="FFFFFF"/>
        <w:spacing w:before="100" w:beforeAutospacing="1" w:after="100" w:afterAutospacing="1"/>
        <w:rPr>
          <w:rFonts w:ascii="Verdana" w:hAnsi="Verdana"/>
          <w:color w:val="000000"/>
          <w:sz w:val="20"/>
          <w:szCs w:val="20"/>
        </w:rPr>
      </w:pPr>
      <w:r w:rsidRPr="007A3449">
        <w:rPr>
          <w:rFonts w:ascii="Verdana" w:hAnsi="Verdana"/>
          <w:color w:val="000000"/>
          <w:sz w:val="20"/>
          <w:szCs w:val="20"/>
        </w:rPr>
        <w:t>14. Sethi S, Krishnan S, Korson AS, Chuttani R, Pleskow DK, Berzin TM, </w:t>
      </w:r>
      <w:r w:rsidRPr="007A3449">
        <w:rPr>
          <w:rFonts w:ascii="Verdana" w:hAnsi="Verdana"/>
          <w:i/>
          <w:iCs/>
          <w:color w:val="000000"/>
          <w:sz w:val="20"/>
          <w:szCs w:val="20"/>
        </w:rPr>
        <w:t>et al</w:t>
      </w:r>
      <w:r w:rsidRPr="007A3449">
        <w:rPr>
          <w:rFonts w:ascii="Verdana" w:hAnsi="Verdana"/>
          <w:color w:val="000000"/>
          <w:sz w:val="20"/>
          <w:szCs w:val="20"/>
        </w:rPr>
        <w:t>. Prospective validation of ASGE criteria for the evaluation of suspected choledocholithiasis [abstract]. J Gastroenterol Hepatol. 2013;28 Suppl 3:18.         [ </w:t>
      </w:r>
      <w:hyperlink r:id="rId18" w:history="1">
        <w:r w:rsidRPr="007A3449">
          <w:rPr>
            <w:rFonts w:ascii="Verdana" w:hAnsi="Verdana"/>
            <w:color w:val="0000FF"/>
            <w:sz w:val="20"/>
            <w:szCs w:val="20"/>
            <w:u w:val="single"/>
          </w:rPr>
          <w:t>Links</w:t>
        </w:r>
      </w:hyperlink>
      <w:r w:rsidRPr="007A3449">
        <w:rPr>
          <w:rFonts w:ascii="Verdana" w:hAnsi="Verdana"/>
          <w:color w:val="000000"/>
          <w:sz w:val="20"/>
          <w:szCs w:val="20"/>
        </w:rPr>
        <w:t> ]</w:t>
      </w:r>
    </w:p>
    <w:p w:rsidR="007A3449" w:rsidRPr="007A3449" w:rsidRDefault="007A3449" w:rsidP="007A3449">
      <w:pPr>
        <w:shd w:val="clear" w:color="auto" w:fill="FFFFFF"/>
        <w:spacing w:before="100" w:beforeAutospacing="1" w:after="100" w:afterAutospacing="1"/>
        <w:rPr>
          <w:rFonts w:ascii="Verdana" w:hAnsi="Verdana"/>
          <w:color w:val="000000"/>
          <w:sz w:val="20"/>
          <w:szCs w:val="20"/>
        </w:rPr>
      </w:pPr>
      <w:r w:rsidRPr="007A3449">
        <w:rPr>
          <w:rFonts w:ascii="Verdana" w:hAnsi="Verdana"/>
          <w:color w:val="000000"/>
          <w:sz w:val="20"/>
          <w:szCs w:val="20"/>
        </w:rPr>
        <w:t>15. Moons KGM, Kengne AP, Grobbee DE, Royston P, Vergouwe Y, Altman DG, </w:t>
      </w:r>
      <w:r w:rsidRPr="007A3449">
        <w:rPr>
          <w:rFonts w:ascii="Verdana" w:hAnsi="Verdana"/>
          <w:i/>
          <w:iCs/>
          <w:color w:val="000000"/>
          <w:sz w:val="20"/>
          <w:szCs w:val="20"/>
        </w:rPr>
        <w:t>et al</w:t>
      </w:r>
      <w:r w:rsidRPr="007A3449">
        <w:rPr>
          <w:rFonts w:ascii="Verdana" w:hAnsi="Verdana"/>
          <w:color w:val="000000"/>
          <w:sz w:val="20"/>
          <w:szCs w:val="20"/>
        </w:rPr>
        <w:t>. Risk prediction models: II. External validation, model updating, and impact assessment. Heart. 2012;98(9):691-8.     </w:t>
      </w:r>
    </w:p>
    <w:p w:rsidR="007A3449" w:rsidRPr="007A3449" w:rsidRDefault="007A3449" w:rsidP="007A3449">
      <w:pPr>
        <w:rPr>
          <w:b/>
        </w:rPr>
      </w:pPr>
    </w:p>
    <w:p w:rsidR="00A21F6A" w:rsidRDefault="00A21F6A" w:rsidP="00A16661">
      <w:pPr>
        <w:rPr>
          <w:b/>
        </w:rPr>
      </w:pPr>
    </w:p>
    <w:p w:rsidR="00A21F6A" w:rsidRDefault="00A21F6A" w:rsidP="00A16661">
      <w:pPr>
        <w:rPr>
          <w:b/>
        </w:rPr>
      </w:pPr>
    </w:p>
    <w:p w:rsidR="00A21F6A" w:rsidRDefault="00A21F6A" w:rsidP="00A16661">
      <w:pPr>
        <w:rPr>
          <w:b/>
        </w:rPr>
      </w:pPr>
    </w:p>
    <w:p w:rsidR="00A21F6A" w:rsidRDefault="00A21F6A" w:rsidP="00A16661">
      <w:pPr>
        <w:rPr>
          <w:b/>
        </w:rPr>
      </w:pPr>
    </w:p>
    <w:p w:rsidR="00A21F6A" w:rsidRDefault="00A21F6A" w:rsidP="00A16661">
      <w:pPr>
        <w:rPr>
          <w:b/>
        </w:rPr>
      </w:pPr>
    </w:p>
    <w:p w:rsidR="00A21F6A" w:rsidRDefault="00A21F6A" w:rsidP="00A16661">
      <w:pPr>
        <w:rPr>
          <w:b/>
        </w:rPr>
      </w:pPr>
    </w:p>
    <w:p w:rsidR="00A21F6A" w:rsidRDefault="00A21F6A" w:rsidP="00A16661">
      <w:pPr>
        <w:rPr>
          <w:b/>
        </w:rPr>
      </w:pPr>
    </w:p>
    <w:p w:rsidR="00A21F6A" w:rsidRDefault="00A21F6A" w:rsidP="00A16661">
      <w:pPr>
        <w:rPr>
          <w:b/>
        </w:rPr>
      </w:pPr>
    </w:p>
    <w:p w:rsidR="00A21F6A" w:rsidRDefault="00A21F6A"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A21F6A" w:rsidRDefault="00A21F6A" w:rsidP="00A16661">
      <w:pPr>
        <w:rPr>
          <w:b/>
        </w:rPr>
      </w:pPr>
    </w:p>
    <w:p w:rsidR="00FA7582" w:rsidRPr="00FA7582" w:rsidRDefault="00A21F6A" w:rsidP="00F46BB9">
      <w:pPr>
        <w:pStyle w:val="Prrafodelista"/>
        <w:numPr>
          <w:ilvl w:val="0"/>
          <w:numId w:val="1"/>
        </w:numPr>
      </w:pPr>
      <w:r w:rsidRPr="00FA7582">
        <w:lastRenderedPageBreak/>
        <w:t>APACHE</w:t>
      </w:r>
      <w:r w:rsidR="00B0316E" w:rsidRPr="00FA7582">
        <w:t xml:space="preserve"> </w:t>
      </w:r>
    </w:p>
    <w:p w:rsidR="00A21F6A" w:rsidRPr="00FA7582" w:rsidRDefault="00FA7582" w:rsidP="00FA7582">
      <w:r>
        <w:t xml:space="preserve">      </w:t>
      </w:r>
      <w:r w:rsidR="00B0316E" w:rsidRPr="00FA7582">
        <w:t>Score de gravedad en pancreatitis aguda</w:t>
      </w:r>
    </w:p>
    <w:p w:rsidR="00A21F6A" w:rsidRDefault="00A21F6A" w:rsidP="00A16661">
      <w:pPr>
        <w:rPr>
          <w:b/>
        </w:rPr>
      </w:pPr>
      <w:r>
        <w:rPr>
          <w:b/>
          <w:noProof/>
        </w:rPr>
        <w:drawing>
          <wp:inline distT="0" distB="0" distL="0" distR="0">
            <wp:extent cx="5166576" cy="28943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9-10-11 a la(s) 23.24.14.png"/>
                    <pic:cNvPicPr/>
                  </pic:nvPicPr>
                  <pic:blipFill>
                    <a:blip r:embed="rId19">
                      <a:extLst>
                        <a:ext uri="{28A0092B-C50C-407E-A947-70E740481C1C}">
                          <a14:useLocalDpi xmlns:a14="http://schemas.microsoft.com/office/drawing/2010/main" val="0"/>
                        </a:ext>
                      </a:extLst>
                    </a:blip>
                    <a:stretch>
                      <a:fillRect/>
                    </a:stretch>
                  </pic:blipFill>
                  <pic:spPr>
                    <a:xfrm>
                      <a:off x="0" y="0"/>
                      <a:ext cx="5192996" cy="2909153"/>
                    </a:xfrm>
                    <a:prstGeom prst="rect">
                      <a:avLst/>
                    </a:prstGeom>
                  </pic:spPr>
                </pic:pic>
              </a:graphicData>
            </a:graphic>
          </wp:inline>
        </w:drawing>
      </w:r>
      <w:r>
        <w:rPr>
          <w:b/>
          <w:noProof/>
        </w:rPr>
        <w:drawing>
          <wp:inline distT="0" distB="0" distL="0" distR="0">
            <wp:extent cx="5127179" cy="44796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10-11 a la(s) 23.24.44.png"/>
                    <pic:cNvPicPr/>
                  </pic:nvPicPr>
                  <pic:blipFill>
                    <a:blip r:embed="rId20">
                      <a:extLst>
                        <a:ext uri="{28A0092B-C50C-407E-A947-70E740481C1C}">
                          <a14:useLocalDpi xmlns:a14="http://schemas.microsoft.com/office/drawing/2010/main" val="0"/>
                        </a:ext>
                      </a:extLst>
                    </a:blip>
                    <a:stretch>
                      <a:fillRect/>
                    </a:stretch>
                  </pic:blipFill>
                  <pic:spPr>
                    <a:xfrm>
                      <a:off x="0" y="0"/>
                      <a:ext cx="5159173" cy="4507602"/>
                    </a:xfrm>
                    <a:prstGeom prst="rect">
                      <a:avLst/>
                    </a:prstGeom>
                  </pic:spPr>
                </pic:pic>
              </a:graphicData>
            </a:graphic>
          </wp:inline>
        </w:drawing>
      </w:r>
      <w:r>
        <w:rPr>
          <w:b/>
          <w:noProof/>
        </w:rPr>
        <w:drawing>
          <wp:inline distT="0" distB="0" distL="0" distR="0">
            <wp:extent cx="5117938" cy="823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9-10-11 a la(s) 23.25.09.png"/>
                    <pic:cNvPicPr/>
                  </pic:nvPicPr>
                  <pic:blipFill>
                    <a:blip r:embed="rId21">
                      <a:extLst>
                        <a:ext uri="{28A0092B-C50C-407E-A947-70E740481C1C}">
                          <a14:useLocalDpi xmlns:a14="http://schemas.microsoft.com/office/drawing/2010/main" val="0"/>
                        </a:ext>
                      </a:extLst>
                    </a:blip>
                    <a:stretch>
                      <a:fillRect/>
                    </a:stretch>
                  </pic:blipFill>
                  <pic:spPr>
                    <a:xfrm>
                      <a:off x="0" y="0"/>
                      <a:ext cx="5174449" cy="832391"/>
                    </a:xfrm>
                    <a:prstGeom prst="rect">
                      <a:avLst/>
                    </a:prstGeom>
                  </pic:spPr>
                </pic:pic>
              </a:graphicData>
            </a:graphic>
          </wp:inline>
        </w:drawing>
      </w:r>
    </w:p>
    <w:p w:rsidR="00A21F6A" w:rsidRDefault="00A21F6A" w:rsidP="00A21F6A">
      <w:r>
        <w:t xml:space="preserve">Fuentes: Agarwal N, Pitchumoni CS. Simplifid prognostic criteria in acute pancreatitis. Pancreas 1986;1:69 2. Larvin M, McMahon MJ. APACHE II score for assessment and monitoring of acute pancreatitis. Lancet 1989;2:201 3. Dervenis C, Johnson CD, Bassi C, et al. Diagnosis, objective assessment of severity and management of acute pancreatitis. Santorini consensus conference. Int J Pancreatol 1999;25:195 4. Williams M, Simms HH. Prognostic usefulness of scoring systems in critically ill patients with severe acute pancreatitis. Crit Care Med 1999;27:901 </w:t>
      </w:r>
    </w:p>
    <w:p w:rsidR="00A21F6A" w:rsidRDefault="00A21F6A" w:rsidP="00A16661">
      <w:pPr>
        <w:rPr>
          <w:b/>
        </w:rPr>
      </w:pPr>
    </w:p>
    <w:p w:rsidR="00FA7582" w:rsidRPr="00FA7582" w:rsidRDefault="00A21F6A" w:rsidP="00A16661">
      <w:pPr>
        <w:pStyle w:val="Prrafodelista"/>
        <w:numPr>
          <w:ilvl w:val="0"/>
          <w:numId w:val="1"/>
        </w:numPr>
      </w:pPr>
      <w:r w:rsidRPr="00FA7582">
        <w:lastRenderedPageBreak/>
        <w:t>OKUDA</w:t>
      </w:r>
      <w:r w:rsidR="00B0316E" w:rsidRPr="00FA7582">
        <w:t xml:space="preserve"> </w:t>
      </w:r>
    </w:p>
    <w:p w:rsidR="00A21F6A" w:rsidRPr="00FA7582" w:rsidRDefault="00B0316E" w:rsidP="00FA7582">
      <w:r w:rsidRPr="00FA7582">
        <w:t xml:space="preserve">Clasificacion por etapas de HCC </w:t>
      </w:r>
    </w:p>
    <w:p w:rsidR="00FA7582" w:rsidRPr="00FA7582" w:rsidRDefault="00FA7582" w:rsidP="00FA7582">
      <w:pPr>
        <w:rPr>
          <w:b/>
        </w:rPr>
      </w:pPr>
    </w:p>
    <w:p w:rsidR="00F46BB9" w:rsidRPr="00F46BB9" w:rsidRDefault="00F46BB9" w:rsidP="00F46BB9">
      <w:pPr>
        <w:rPr>
          <w:b/>
        </w:rPr>
      </w:pPr>
      <w:r>
        <w:rPr>
          <w:b/>
          <w:noProof/>
        </w:rPr>
        <w:drawing>
          <wp:inline distT="0" distB="0" distL="0" distR="0">
            <wp:extent cx="3886200" cy="2159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19-10-11 a la(s) 23.35.42.png"/>
                    <pic:cNvPicPr/>
                  </pic:nvPicPr>
                  <pic:blipFill>
                    <a:blip r:embed="rId22">
                      <a:extLst>
                        <a:ext uri="{28A0092B-C50C-407E-A947-70E740481C1C}">
                          <a14:useLocalDpi xmlns:a14="http://schemas.microsoft.com/office/drawing/2010/main" val="0"/>
                        </a:ext>
                      </a:extLst>
                    </a:blip>
                    <a:stretch>
                      <a:fillRect/>
                    </a:stretch>
                  </pic:blipFill>
                  <pic:spPr>
                    <a:xfrm>
                      <a:off x="0" y="0"/>
                      <a:ext cx="3886200" cy="2159000"/>
                    </a:xfrm>
                    <a:prstGeom prst="rect">
                      <a:avLst/>
                    </a:prstGeom>
                  </pic:spPr>
                </pic:pic>
              </a:graphicData>
            </a:graphic>
          </wp:inline>
        </w:drawing>
      </w:r>
    </w:p>
    <w:p w:rsidR="00F46BB9" w:rsidRDefault="00F46BB9" w:rsidP="00F46BB9">
      <w:pPr>
        <w:pStyle w:val="Prrafodelista"/>
        <w:rPr>
          <w:b/>
        </w:rPr>
      </w:pPr>
    </w:p>
    <w:p w:rsidR="00F46BB9" w:rsidRDefault="00F46BB9" w:rsidP="00F46BB9">
      <w:r>
        <w:t>Fuente: Prognostic factors for survival in patients with earlyintermediate hepatocellular carcinoma undergoing nonsurgical therapy: comparison of Okuda, CLIP, and BCLC staging systems in a single Italian centre A Grieco, M Pompili, G Caminiti, L Miele, M Covino, B Alfei, G L Rapaccini, G Gasbarrin. Gut 2005;54:411–418. doi: 10.1136/gut.2004.048124</w:t>
      </w:r>
    </w:p>
    <w:p w:rsidR="00F46BB9" w:rsidRDefault="00F46BB9" w:rsidP="00F46BB9"/>
    <w:p w:rsidR="00F46BB9" w:rsidRPr="00F46BB9" w:rsidRDefault="00F46BB9" w:rsidP="00F46BB9">
      <w:pPr>
        <w:pStyle w:val="Prrafodelista"/>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B0316E" w:rsidRDefault="00B0316E" w:rsidP="00A16661">
      <w:pPr>
        <w:rPr>
          <w:b/>
        </w:rPr>
      </w:pPr>
    </w:p>
    <w:p w:rsidR="00FA7582" w:rsidRPr="00FA7582" w:rsidRDefault="00A21F6A" w:rsidP="00F46BB9">
      <w:pPr>
        <w:pStyle w:val="Prrafodelista"/>
        <w:numPr>
          <w:ilvl w:val="0"/>
          <w:numId w:val="1"/>
        </w:numPr>
      </w:pPr>
      <w:r w:rsidRPr="00FA7582">
        <w:lastRenderedPageBreak/>
        <w:t>FISTULA PANCREATICA ISGPF</w:t>
      </w:r>
      <w:r w:rsidR="00B0316E" w:rsidRPr="00FA7582">
        <w:t xml:space="preserve"> </w:t>
      </w:r>
    </w:p>
    <w:p w:rsidR="00A21F6A" w:rsidRPr="00FA7582" w:rsidRDefault="00B0316E" w:rsidP="00FA7582">
      <w:pPr>
        <w:ind w:left="360"/>
        <w:rPr>
          <w:b/>
        </w:rPr>
      </w:pPr>
      <w:r w:rsidRPr="00B0316E">
        <w:t>Clasificación de fistula pancreatica, orienta enfoque terapeutico</w:t>
      </w:r>
    </w:p>
    <w:p w:rsidR="00F46BB9" w:rsidRDefault="00F46BB9" w:rsidP="00F46BB9">
      <w:pPr>
        <w:rPr>
          <w:b/>
        </w:rPr>
      </w:pPr>
    </w:p>
    <w:p w:rsidR="00F46BB9" w:rsidRPr="00F46BB9" w:rsidRDefault="00F46BB9" w:rsidP="00F46BB9">
      <w:pPr>
        <w:rPr>
          <w:b/>
        </w:rPr>
      </w:pPr>
      <w:r>
        <w:rPr>
          <w:b/>
          <w:noProof/>
        </w:rPr>
        <w:drawing>
          <wp:inline distT="0" distB="0" distL="0" distR="0">
            <wp:extent cx="5575300" cy="5143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10-11 a la(s) 23.41.36.png"/>
                    <pic:cNvPicPr/>
                  </pic:nvPicPr>
                  <pic:blipFill>
                    <a:blip r:embed="rId23">
                      <a:extLst>
                        <a:ext uri="{28A0092B-C50C-407E-A947-70E740481C1C}">
                          <a14:useLocalDpi xmlns:a14="http://schemas.microsoft.com/office/drawing/2010/main" val="0"/>
                        </a:ext>
                      </a:extLst>
                    </a:blip>
                    <a:stretch>
                      <a:fillRect/>
                    </a:stretch>
                  </pic:blipFill>
                  <pic:spPr>
                    <a:xfrm>
                      <a:off x="0" y="0"/>
                      <a:ext cx="5575300" cy="5143500"/>
                    </a:xfrm>
                    <a:prstGeom prst="rect">
                      <a:avLst/>
                    </a:prstGeom>
                  </pic:spPr>
                </pic:pic>
              </a:graphicData>
            </a:graphic>
          </wp:inline>
        </w:drawing>
      </w:r>
    </w:p>
    <w:p w:rsidR="00F46BB9" w:rsidRDefault="00F46BB9" w:rsidP="00F46BB9"/>
    <w:p w:rsidR="00F46BB9" w:rsidRDefault="00F46BB9" w:rsidP="00F46BB9">
      <w:r>
        <w:t>Fuente: Postoperative pancreatic fistula: An international study group (ISGPF) definition Claudio Bassi, MD,a Christos Dervenis, MD,b Giovanni Butturini, MD,a Abe Fingerhut, MD,c Charles Yeo, MD,d Jakob Izbicki, MD,e John Neoptolemos, MD,f Michael Sarr, MD,g William Traverso, MD,h and Marcus Buchler, MD,i for the International Study Group on Pancreatic Fistula Definition,*Verona, Italy; Athens, Greece; Poissy, France; Baltimore, Md; Liverpool, United Kingdom; Hamburg, Germany; Rochester, NY; Seattle, Wash; and Heidelberg, Germany</w:t>
      </w: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A7582" w:rsidRPr="00FA7582" w:rsidRDefault="00A21F6A" w:rsidP="00F46BB9">
      <w:pPr>
        <w:pStyle w:val="Prrafodelista"/>
        <w:numPr>
          <w:ilvl w:val="0"/>
          <w:numId w:val="1"/>
        </w:numPr>
      </w:pPr>
      <w:r w:rsidRPr="00FA7582">
        <w:lastRenderedPageBreak/>
        <w:t>CRITERIOS CLINICA MAYO PAI</w:t>
      </w:r>
      <w:r w:rsidR="00B0316E" w:rsidRPr="00FA7582">
        <w:t xml:space="preserve"> </w:t>
      </w:r>
    </w:p>
    <w:p w:rsidR="00A21F6A" w:rsidRPr="00B0316E" w:rsidRDefault="00B0316E" w:rsidP="00FA7582">
      <w:pPr>
        <w:ind w:left="360"/>
      </w:pPr>
      <w:r w:rsidRPr="00B0316E">
        <w:t>Criterios diagnósticos de pancreatitis aguda autoinmune</w:t>
      </w:r>
    </w:p>
    <w:p w:rsidR="00F46BB9" w:rsidRDefault="00F46BB9" w:rsidP="00A16661">
      <w:pPr>
        <w:rPr>
          <w:b/>
        </w:rPr>
      </w:pPr>
    </w:p>
    <w:p w:rsidR="00F46BB9" w:rsidRDefault="00F46BB9" w:rsidP="00A16661">
      <w:pPr>
        <w:rPr>
          <w:b/>
        </w:rPr>
      </w:pPr>
      <w:r>
        <w:rPr>
          <w:b/>
          <w:noProof/>
        </w:rPr>
        <w:drawing>
          <wp:inline distT="0" distB="0" distL="0" distR="0">
            <wp:extent cx="6645910" cy="40328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19-10-11 a la(s) 23.43.56.png"/>
                    <pic:cNvPicPr/>
                  </pic:nvPicPr>
                  <pic:blipFill>
                    <a:blip r:embed="rId24">
                      <a:extLst>
                        <a:ext uri="{28A0092B-C50C-407E-A947-70E740481C1C}">
                          <a14:useLocalDpi xmlns:a14="http://schemas.microsoft.com/office/drawing/2010/main" val="0"/>
                        </a:ext>
                      </a:extLst>
                    </a:blip>
                    <a:stretch>
                      <a:fillRect/>
                    </a:stretch>
                  </pic:blipFill>
                  <pic:spPr>
                    <a:xfrm>
                      <a:off x="0" y="0"/>
                      <a:ext cx="6645910" cy="4032885"/>
                    </a:xfrm>
                    <a:prstGeom prst="rect">
                      <a:avLst/>
                    </a:prstGeom>
                  </pic:spPr>
                </pic:pic>
              </a:graphicData>
            </a:graphic>
          </wp:inline>
        </w:drawing>
      </w:r>
    </w:p>
    <w:p w:rsidR="00F46BB9" w:rsidRDefault="00F46BB9" w:rsidP="00F46BB9">
      <w:r>
        <w:t>Fuentes: Okazaki K, Uchida K, Kukui T. Recent advances in autoimmune pancreatitis: concept, diagnosis, and pathogenesis. J Gastroenterol. 2008;43:409-18. 2. Finkelberg D, Sahani D, Deshpande V, Brugge W. Autoimmune pancreatitis. N Engl J Med. 2006;355:2670-6. 3. Members of the Criteria Committee for Autoimmune Pancreatitis of the Japan Pancreas Society. Diagnostic criteria for autoimmune pancreatitis by the Japan Pancreas Society. J Jpn Pancreas. 2002;17:585-7</w:t>
      </w: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A7582" w:rsidRPr="00FA7582" w:rsidRDefault="00A21F6A" w:rsidP="00F46BB9">
      <w:pPr>
        <w:pStyle w:val="Prrafodelista"/>
        <w:numPr>
          <w:ilvl w:val="0"/>
          <w:numId w:val="1"/>
        </w:numPr>
      </w:pPr>
      <w:r w:rsidRPr="00FA7582">
        <w:lastRenderedPageBreak/>
        <w:t>CRITERIOS HCC</w:t>
      </w:r>
      <w:r w:rsidR="00B0316E" w:rsidRPr="00FA7582">
        <w:t xml:space="preserve"> </w:t>
      </w:r>
    </w:p>
    <w:p w:rsidR="00A21F6A" w:rsidRPr="00FA7582" w:rsidRDefault="00B0316E" w:rsidP="00FA7582">
      <w:pPr>
        <w:ind w:left="360"/>
      </w:pPr>
      <w:r w:rsidRPr="00FA7582">
        <w:t>Criterios de inclusión a trasplante hepático</w:t>
      </w:r>
      <w:r w:rsidR="00FA7582">
        <w:t>, en HCC.</w:t>
      </w:r>
    </w:p>
    <w:p w:rsidR="00F46BB9" w:rsidRDefault="00F46BB9" w:rsidP="00A16661">
      <w:pPr>
        <w:rPr>
          <w:b/>
        </w:rPr>
      </w:pPr>
    </w:p>
    <w:p w:rsidR="00F46BB9" w:rsidRDefault="00F46BB9" w:rsidP="00A16661">
      <w:pPr>
        <w:rPr>
          <w:b/>
        </w:rPr>
      </w:pPr>
      <w:r>
        <w:rPr>
          <w:b/>
          <w:noProof/>
        </w:rPr>
        <w:drawing>
          <wp:inline distT="0" distB="0" distL="0" distR="0">
            <wp:extent cx="6645910" cy="28073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19-10-11 a la(s) 23.45.57.png"/>
                    <pic:cNvPicPr/>
                  </pic:nvPicPr>
                  <pic:blipFill>
                    <a:blip r:embed="rId25">
                      <a:extLst>
                        <a:ext uri="{28A0092B-C50C-407E-A947-70E740481C1C}">
                          <a14:useLocalDpi xmlns:a14="http://schemas.microsoft.com/office/drawing/2010/main" val="0"/>
                        </a:ext>
                      </a:extLst>
                    </a:blip>
                    <a:stretch>
                      <a:fillRect/>
                    </a:stretch>
                  </pic:blipFill>
                  <pic:spPr>
                    <a:xfrm>
                      <a:off x="0" y="0"/>
                      <a:ext cx="6645910" cy="2807335"/>
                    </a:xfrm>
                    <a:prstGeom prst="rect">
                      <a:avLst/>
                    </a:prstGeom>
                  </pic:spPr>
                </pic:pic>
              </a:graphicData>
            </a:graphic>
          </wp:inline>
        </w:drawing>
      </w:r>
    </w:p>
    <w:p w:rsidR="00F46BB9" w:rsidRPr="00F46BB9" w:rsidRDefault="00F46BB9" w:rsidP="00F46BB9"/>
    <w:p w:rsidR="00F46BB9" w:rsidRPr="00F46BB9" w:rsidRDefault="00F46BB9" w:rsidP="00F46BB9">
      <w:r w:rsidRPr="00F46BB9">
        <w:t>Sorafenib in Advanced Hepatocellular carcinoma. N Eng J Med 2008;359:378-390.</w:t>
      </w:r>
    </w:p>
    <w:p w:rsidR="00F46BB9" w:rsidRPr="00F46BB9" w:rsidRDefault="00F46BB9" w:rsidP="00F46BB9">
      <w:r w:rsidRPr="00F46BB9">
        <w:t>Efficacy and safety of sorafenib in patients in the Asia-Pacific region with advanced hepatocellular carcinoma: a phase iii randomised, double-blind, placebo controlled trial. Lancet Oncology 2009;10:25-34.</w:t>
      </w: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F46BB9" w:rsidRDefault="00F46BB9" w:rsidP="00A16661">
      <w:pPr>
        <w:rPr>
          <w:b/>
        </w:rPr>
      </w:pPr>
    </w:p>
    <w:p w:rsidR="00A21F6A" w:rsidRPr="00FA7582" w:rsidRDefault="00EC252F" w:rsidP="00A16661">
      <w:pPr>
        <w:pStyle w:val="Prrafodelista"/>
        <w:numPr>
          <w:ilvl w:val="0"/>
          <w:numId w:val="1"/>
        </w:numPr>
      </w:pPr>
      <w:r w:rsidRPr="00FA7582">
        <w:lastRenderedPageBreak/>
        <w:t>Trauma Hepático</w:t>
      </w:r>
    </w:p>
    <w:p w:rsidR="00FA7582" w:rsidRPr="00FA7582" w:rsidRDefault="00FA7582" w:rsidP="00FA7582">
      <w:r w:rsidRPr="00FA7582">
        <w:t>Clasifición de daño hepático por trauma, rol en eleccion de tratamiento.</w:t>
      </w:r>
    </w:p>
    <w:p w:rsidR="00EC252F" w:rsidRDefault="00EC252F" w:rsidP="00EC252F">
      <w:pPr>
        <w:rPr>
          <w:b/>
        </w:rPr>
      </w:pPr>
    </w:p>
    <w:p w:rsidR="00EC252F" w:rsidRDefault="00EC252F" w:rsidP="00EC252F">
      <w:pPr>
        <w:rPr>
          <w:b/>
        </w:rPr>
      </w:pPr>
      <w:r>
        <w:rPr>
          <w:b/>
          <w:noProof/>
        </w:rPr>
        <w:drawing>
          <wp:inline distT="0" distB="0" distL="0" distR="0">
            <wp:extent cx="5143500" cy="6908260"/>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19-10-14 a la(s) 20.50.05.png"/>
                    <pic:cNvPicPr/>
                  </pic:nvPicPr>
                  <pic:blipFill rotWithShape="1">
                    <a:blip r:embed="rId26">
                      <a:extLst>
                        <a:ext uri="{28A0092B-C50C-407E-A947-70E740481C1C}">
                          <a14:useLocalDpi xmlns:a14="http://schemas.microsoft.com/office/drawing/2010/main" val="0"/>
                        </a:ext>
                      </a:extLst>
                    </a:blip>
                    <a:srcRect t="4569"/>
                    <a:stretch/>
                  </pic:blipFill>
                  <pic:spPr bwMode="auto">
                    <a:xfrm>
                      <a:off x="0" y="0"/>
                      <a:ext cx="5143500" cy="6908260"/>
                    </a:xfrm>
                    <a:prstGeom prst="rect">
                      <a:avLst/>
                    </a:prstGeom>
                    <a:ln>
                      <a:noFill/>
                    </a:ln>
                    <a:extLst>
                      <a:ext uri="{53640926-AAD7-44D8-BBD7-CCE9431645EC}">
                        <a14:shadowObscured xmlns:a14="http://schemas.microsoft.com/office/drawing/2010/main"/>
                      </a:ext>
                    </a:extLst>
                  </pic:spPr>
                </pic:pic>
              </a:graphicData>
            </a:graphic>
          </wp:inline>
        </w:drawing>
      </w:r>
    </w:p>
    <w:p w:rsidR="00EC252F" w:rsidRPr="00FA7582" w:rsidRDefault="00EC252F" w:rsidP="00EC252F">
      <w:pPr>
        <w:rPr>
          <w:b/>
        </w:rPr>
      </w:pPr>
    </w:p>
    <w:p w:rsidR="00EC252F" w:rsidRPr="00EC252F" w:rsidRDefault="00EC252F" w:rsidP="00EC252F">
      <w:pPr>
        <w:textAlignment w:val="baseline"/>
        <w:rPr>
          <w:rFonts w:ascii="NexusSansPro" w:hAnsi="NexusSansPro"/>
          <w:sz w:val="21"/>
          <w:szCs w:val="21"/>
        </w:rPr>
      </w:pPr>
      <w:r w:rsidRPr="00EC252F">
        <w:rPr>
          <w:rFonts w:ascii="NexusSansPro" w:hAnsi="NexusSansPro"/>
          <w:sz w:val="21"/>
          <w:szCs w:val="21"/>
        </w:rPr>
        <w:t>Moore EE, Shackford SR, Pachter Hl, et al.Organ injury scaling: spleen, liver and kidney.J Trauma, 29 (1989), pp. 1664</w:t>
      </w:r>
    </w:p>
    <w:p w:rsidR="00EC252F" w:rsidRPr="00EC252F" w:rsidRDefault="00EC252F" w:rsidP="00EC252F">
      <w:pPr>
        <w:rPr>
          <w:b/>
        </w:rPr>
      </w:pPr>
    </w:p>
    <w:p w:rsidR="00B2763C" w:rsidRDefault="00B2763C" w:rsidP="00A16661">
      <w:pPr>
        <w:rPr>
          <w:b/>
        </w:rPr>
      </w:pPr>
    </w:p>
    <w:p w:rsidR="00B2763C" w:rsidRDefault="00B2763C" w:rsidP="00A16661">
      <w:pPr>
        <w:rPr>
          <w:b/>
        </w:rPr>
      </w:pPr>
    </w:p>
    <w:p w:rsidR="00B2763C" w:rsidRDefault="00B2763C" w:rsidP="00A16661">
      <w:pPr>
        <w:rPr>
          <w:b/>
        </w:rPr>
      </w:pPr>
    </w:p>
    <w:p w:rsidR="00B2763C" w:rsidRDefault="00B2763C" w:rsidP="00A16661">
      <w:pPr>
        <w:rPr>
          <w:b/>
        </w:rPr>
      </w:pPr>
    </w:p>
    <w:p w:rsidR="00B2763C" w:rsidRDefault="00B2763C" w:rsidP="00A16661">
      <w:pPr>
        <w:rPr>
          <w:b/>
        </w:rPr>
      </w:pPr>
    </w:p>
    <w:p w:rsidR="00B2763C" w:rsidRDefault="00B2763C" w:rsidP="00A16661">
      <w:pPr>
        <w:rPr>
          <w:b/>
        </w:rPr>
      </w:pPr>
    </w:p>
    <w:p w:rsidR="00B2763C" w:rsidRDefault="00B2763C" w:rsidP="00A16661">
      <w:pPr>
        <w:rPr>
          <w:b/>
        </w:rPr>
      </w:pPr>
    </w:p>
    <w:p w:rsidR="00B2763C" w:rsidRDefault="00B2763C" w:rsidP="00A16661">
      <w:pPr>
        <w:rPr>
          <w:b/>
        </w:rPr>
      </w:pPr>
    </w:p>
    <w:p w:rsidR="00B2763C" w:rsidRDefault="00B2763C" w:rsidP="00A16661">
      <w:pPr>
        <w:rPr>
          <w:b/>
        </w:rPr>
      </w:pPr>
    </w:p>
    <w:p w:rsidR="00B2763C" w:rsidRDefault="00B2763C" w:rsidP="00A16661">
      <w:pPr>
        <w:rPr>
          <w:b/>
        </w:rPr>
      </w:pPr>
    </w:p>
    <w:p w:rsidR="00FA7582" w:rsidRPr="00FA7582" w:rsidRDefault="00FA7582" w:rsidP="007A1CDD">
      <w:pPr>
        <w:pStyle w:val="Prrafodelista"/>
        <w:numPr>
          <w:ilvl w:val="0"/>
          <w:numId w:val="1"/>
        </w:numPr>
      </w:pPr>
      <w:r w:rsidRPr="00FA7582">
        <w:lastRenderedPageBreak/>
        <w:t>MELD</w:t>
      </w:r>
    </w:p>
    <w:p w:rsidR="00FA7582" w:rsidRDefault="00FA7582" w:rsidP="00FA7582">
      <w:pPr>
        <w:rPr>
          <w:b/>
        </w:rPr>
      </w:pPr>
    </w:p>
    <w:p w:rsidR="00FA7582" w:rsidRPr="00FA7582" w:rsidRDefault="00FA7582" w:rsidP="00FA7582">
      <w:r w:rsidRPr="00FA7582">
        <w:rPr>
          <w:rFonts w:ascii="Arial" w:hAnsi="Arial" w:cs="Arial"/>
          <w:color w:val="222222"/>
          <w:sz w:val="21"/>
          <w:szCs w:val="21"/>
          <w:shd w:val="clear" w:color="auto" w:fill="FFFFFF"/>
        </w:rPr>
        <w:t>"</w:t>
      </w:r>
      <w:r w:rsidRPr="00FA7582">
        <w:rPr>
          <w:rFonts w:ascii="Arial" w:hAnsi="Arial" w:cs="Arial"/>
          <w:bCs/>
          <w:color w:val="222222"/>
          <w:sz w:val="21"/>
          <w:szCs w:val="21"/>
          <w:shd w:val="clear" w:color="auto" w:fill="FFFFFF"/>
        </w:rPr>
        <w:t>M</w:t>
      </w:r>
      <w:r w:rsidRPr="00FA7582">
        <w:rPr>
          <w:rFonts w:ascii="Arial" w:hAnsi="Arial" w:cs="Arial"/>
          <w:color w:val="222222"/>
          <w:sz w:val="21"/>
          <w:szCs w:val="21"/>
          <w:shd w:val="clear" w:color="auto" w:fill="FFFFFF"/>
        </w:rPr>
        <w:t>odel for </w:t>
      </w:r>
      <w:r w:rsidRPr="00FA7582">
        <w:rPr>
          <w:rFonts w:ascii="Arial" w:hAnsi="Arial" w:cs="Arial"/>
          <w:bCs/>
          <w:color w:val="222222"/>
          <w:sz w:val="21"/>
          <w:szCs w:val="21"/>
          <w:shd w:val="clear" w:color="auto" w:fill="FFFFFF"/>
        </w:rPr>
        <w:t>E</w:t>
      </w:r>
      <w:r w:rsidRPr="00FA7582">
        <w:rPr>
          <w:rFonts w:ascii="Arial" w:hAnsi="Arial" w:cs="Arial"/>
          <w:color w:val="222222"/>
          <w:sz w:val="21"/>
          <w:szCs w:val="21"/>
          <w:shd w:val="clear" w:color="auto" w:fill="FFFFFF"/>
        </w:rPr>
        <w:t>nd-stage </w:t>
      </w:r>
      <w:r w:rsidRPr="00FA7582">
        <w:rPr>
          <w:rFonts w:ascii="Arial" w:hAnsi="Arial" w:cs="Arial"/>
          <w:bCs/>
          <w:color w:val="222222"/>
          <w:sz w:val="21"/>
          <w:szCs w:val="21"/>
          <w:shd w:val="clear" w:color="auto" w:fill="FFFFFF"/>
        </w:rPr>
        <w:t>L</w:t>
      </w:r>
      <w:r w:rsidRPr="00FA7582">
        <w:rPr>
          <w:rFonts w:ascii="Arial" w:hAnsi="Arial" w:cs="Arial"/>
          <w:color w:val="222222"/>
          <w:sz w:val="21"/>
          <w:szCs w:val="21"/>
          <w:shd w:val="clear" w:color="auto" w:fill="FFFFFF"/>
        </w:rPr>
        <w:t>iver </w:t>
      </w:r>
      <w:r w:rsidRPr="00FA7582">
        <w:rPr>
          <w:rFonts w:ascii="Arial" w:hAnsi="Arial" w:cs="Arial"/>
          <w:bCs/>
          <w:color w:val="222222"/>
          <w:sz w:val="21"/>
          <w:szCs w:val="21"/>
          <w:shd w:val="clear" w:color="auto" w:fill="FFFFFF"/>
        </w:rPr>
        <w:t>D</w:t>
      </w:r>
      <w:r w:rsidRPr="00FA7582">
        <w:rPr>
          <w:rFonts w:ascii="Arial" w:hAnsi="Arial" w:cs="Arial"/>
          <w:color w:val="222222"/>
          <w:sz w:val="21"/>
          <w:szCs w:val="21"/>
          <w:shd w:val="clear" w:color="auto" w:fill="FFFFFF"/>
        </w:rPr>
        <w:t>isease") es un sistema de puntuación para medir la severidad de la enfermedad hepática crónica.</w:t>
      </w:r>
    </w:p>
    <w:p w:rsidR="00FA7582" w:rsidRDefault="00FA7582" w:rsidP="00FA7582">
      <w:pPr>
        <w:rPr>
          <w:b/>
        </w:rPr>
      </w:pPr>
    </w:p>
    <w:p w:rsidR="00FA7582" w:rsidRPr="00FA7582" w:rsidRDefault="00FA7582" w:rsidP="00FA7582">
      <w:r w:rsidRPr="00FA7582">
        <w:fldChar w:fldCharType="begin"/>
      </w:r>
      <w:r w:rsidRPr="00FA7582">
        <w:instrText xml:space="preserve"> INCLUDEPICTURE "https://www.monografias.com/trabajos101/revision-bibliografica-del-hepatocarcinoma-periodo-enero-2009-enero-2014/image001.jpg" \* MERGEFORMATINET </w:instrText>
      </w:r>
      <w:r w:rsidRPr="00FA7582">
        <w:fldChar w:fldCharType="separate"/>
      </w:r>
      <w:r w:rsidRPr="00FA7582">
        <w:rPr>
          <w:noProof/>
        </w:rPr>
        <w:drawing>
          <wp:inline distT="0" distB="0" distL="0" distR="0">
            <wp:extent cx="6645910" cy="2470785"/>
            <wp:effectExtent l="0" t="0" r="0" b="5715"/>
            <wp:docPr id="18"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2470785"/>
                    </a:xfrm>
                    <a:prstGeom prst="rect">
                      <a:avLst/>
                    </a:prstGeom>
                    <a:noFill/>
                    <a:ln>
                      <a:noFill/>
                    </a:ln>
                  </pic:spPr>
                </pic:pic>
              </a:graphicData>
            </a:graphic>
          </wp:inline>
        </w:drawing>
      </w:r>
      <w:r w:rsidRPr="00FA7582">
        <w:fldChar w:fldCharType="end"/>
      </w:r>
    </w:p>
    <w:p w:rsidR="00FA7582" w:rsidRDefault="00FA7582" w:rsidP="00FA7582">
      <w:pPr>
        <w:rPr>
          <w:b/>
        </w:rPr>
      </w:pPr>
    </w:p>
    <w:p w:rsidR="00FA7582" w:rsidRDefault="00FA7582" w:rsidP="00FA7582">
      <w:r w:rsidRPr="00FA7582">
        <w:fldChar w:fldCharType="begin"/>
      </w:r>
      <w:r w:rsidRPr="00FA7582">
        <w:instrText xml:space="preserve"> INCLUDEPICTURE "https://image.jimcdn.com/app/cms/image/transf/none/path/s886197faa367e542/image/ie875bca8f28baa85/version/1496371513/image.png" \* MERGEFORMATINET </w:instrText>
      </w:r>
      <w:r w:rsidRPr="00FA7582">
        <w:fldChar w:fldCharType="separate"/>
      </w:r>
      <w:r w:rsidRPr="00FA7582">
        <w:rPr>
          <w:noProof/>
        </w:rPr>
        <w:drawing>
          <wp:inline distT="0" distB="0" distL="0" distR="0">
            <wp:extent cx="3326765" cy="2207895"/>
            <wp:effectExtent l="0" t="0" r="635" b="1905"/>
            <wp:docPr id="17" name="Imagen 17" descr="Resultado de imagen para M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L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6765" cy="2207895"/>
                    </a:xfrm>
                    <a:prstGeom prst="rect">
                      <a:avLst/>
                    </a:prstGeom>
                    <a:noFill/>
                    <a:ln>
                      <a:noFill/>
                    </a:ln>
                  </pic:spPr>
                </pic:pic>
              </a:graphicData>
            </a:graphic>
          </wp:inline>
        </w:drawing>
      </w:r>
      <w:r w:rsidRPr="00FA7582">
        <w:fldChar w:fldCharType="end"/>
      </w:r>
    </w:p>
    <w:p w:rsidR="00FA7582" w:rsidRDefault="00FA7582" w:rsidP="00FA7582"/>
    <w:p w:rsidR="00FA7582" w:rsidRDefault="00FA7582" w:rsidP="00FA7582">
      <w:pPr>
        <w:textAlignment w:val="baseline"/>
        <w:rPr>
          <w:rFonts w:ascii="NexusSansPro" w:hAnsi="NexusSansPro"/>
          <w:sz w:val="21"/>
          <w:szCs w:val="21"/>
        </w:rPr>
      </w:pPr>
      <w:r w:rsidRPr="00FA7582">
        <w:rPr>
          <w:rFonts w:ascii="NexusSansPro" w:hAnsi="NexusSansPro"/>
          <w:sz w:val="21"/>
          <w:szCs w:val="21"/>
        </w:rPr>
        <w:t>P.S. Kamath, W.R. Kim. The model for end-stage liver disease (MELD). Hepatology, 45 (2007), pp. 797-805</w:t>
      </w: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Default="00FA7582" w:rsidP="00FA7582">
      <w:pPr>
        <w:textAlignment w:val="baseline"/>
        <w:rPr>
          <w:rFonts w:ascii="NexusSansPro" w:hAnsi="NexusSansPro"/>
          <w:sz w:val="21"/>
          <w:szCs w:val="21"/>
        </w:rPr>
      </w:pPr>
    </w:p>
    <w:p w:rsidR="00FA7582" w:rsidRPr="00FA7582" w:rsidRDefault="00FA7582" w:rsidP="00FA7582">
      <w:pPr>
        <w:textAlignment w:val="baseline"/>
        <w:rPr>
          <w:rFonts w:ascii="NexusSansPro" w:hAnsi="NexusSansPro"/>
          <w:sz w:val="21"/>
          <w:szCs w:val="21"/>
        </w:rPr>
      </w:pPr>
    </w:p>
    <w:p w:rsidR="00FA7582" w:rsidRPr="00FA7582" w:rsidRDefault="00FA7582" w:rsidP="00FA7582">
      <w:pPr>
        <w:rPr>
          <w:b/>
        </w:rPr>
      </w:pPr>
    </w:p>
    <w:p w:rsidR="00A21F6A" w:rsidRPr="00D97431" w:rsidRDefault="00D97431" w:rsidP="007A1CDD">
      <w:pPr>
        <w:pStyle w:val="Prrafodelista"/>
        <w:numPr>
          <w:ilvl w:val="0"/>
          <w:numId w:val="1"/>
        </w:numPr>
      </w:pPr>
      <w:bookmarkStart w:id="0" w:name="_GoBack"/>
      <w:r w:rsidRPr="00D97431">
        <w:lastRenderedPageBreak/>
        <w:t>Criterios del King`s College para trasplante en falla hepática fulminante</w:t>
      </w:r>
    </w:p>
    <w:bookmarkEnd w:id="0"/>
    <w:p w:rsidR="00D97431" w:rsidRDefault="00D97431" w:rsidP="00D97431">
      <w:pPr>
        <w:rPr>
          <w:b/>
        </w:rPr>
      </w:pPr>
    </w:p>
    <w:p w:rsidR="00D97431" w:rsidRDefault="00D97431" w:rsidP="00D97431">
      <w:r w:rsidRPr="00D97431">
        <w:fldChar w:fldCharType="begin"/>
      </w:r>
      <w:r w:rsidRPr="00D97431">
        <w:instrText xml:space="preserve"> INCLUDEPICTURE "https://scielo.conicyt.cl/fbpe/img/rmc/v130n6/t14-02.gif" \* MERGEFORMATINET </w:instrText>
      </w:r>
      <w:r w:rsidRPr="00D97431">
        <w:fldChar w:fldCharType="separate"/>
      </w:r>
      <w:r w:rsidRPr="00D97431">
        <w:rPr>
          <w:noProof/>
        </w:rPr>
        <w:drawing>
          <wp:inline distT="0" distB="0" distL="0" distR="0">
            <wp:extent cx="3824605" cy="4580255"/>
            <wp:effectExtent l="0" t="0" r="0" b="4445"/>
            <wp:docPr id="20" name="Imagen 20" descr="Resultado de imagen para criterios de falla hep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riterios de falla hepátic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4605" cy="4580255"/>
                    </a:xfrm>
                    <a:prstGeom prst="rect">
                      <a:avLst/>
                    </a:prstGeom>
                    <a:noFill/>
                    <a:ln>
                      <a:noFill/>
                    </a:ln>
                  </pic:spPr>
                </pic:pic>
              </a:graphicData>
            </a:graphic>
          </wp:inline>
        </w:drawing>
      </w:r>
      <w:r w:rsidRPr="00D97431">
        <w:fldChar w:fldCharType="end"/>
      </w:r>
    </w:p>
    <w:p w:rsidR="00D97431" w:rsidRDefault="00D97431" w:rsidP="00D97431"/>
    <w:p w:rsidR="00D97431" w:rsidRDefault="00D97431" w:rsidP="00D97431">
      <w:pPr>
        <w:shd w:val="clear" w:color="auto" w:fill="FFFFFF"/>
        <w:spacing w:before="100" w:beforeAutospacing="1" w:after="100" w:afterAutospacing="1"/>
        <w:rPr>
          <w:rFonts w:ascii="Verdana" w:hAnsi="Verdana"/>
          <w:color w:val="000000"/>
          <w:sz w:val="20"/>
          <w:szCs w:val="20"/>
        </w:rPr>
      </w:pPr>
      <w:r w:rsidRPr="00D97431">
        <w:rPr>
          <w:rFonts w:ascii="Verdana" w:hAnsi="Verdana"/>
          <w:color w:val="000000"/>
          <w:sz w:val="20"/>
          <w:szCs w:val="20"/>
        </w:rPr>
        <w:t>Riordan S, Williams R. Fulminant hepatic failure. </w:t>
      </w:r>
      <w:r w:rsidRPr="00D97431">
        <w:rPr>
          <w:rFonts w:ascii="Verdana" w:hAnsi="Verdana"/>
          <w:i/>
          <w:iCs/>
          <w:color w:val="000000"/>
          <w:sz w:val="20"/>
          <w:szCs w:val="20"/>
        </w:rPr>
        <w:t>Clin Liver Dis</w:t>
      </w:r>
      <w:r w:rsidRPr="00D97431">
        <w:rPr>
          <w:rFonts w:ascii="Verdana" w:hAnsi="Verdana"/>
          <w:color w:val="000000"/>
          <w:sz w:val="20"/>
          <w:szCs w:val="20"/>
        </w:rPr>
        <w:t> 2000; 4: 25-45</w:t>
      </w:r>
      <w:bookmarkStart w:id="1" w:name="3"/>
      <w:bookmarkEnd w:id="1"/>
      <w:r>
        <w:rPr>
          <w:rFonts w:ascii="Verdana" w:hAnsi="Verdana"/>
          <w:color w:val="000000"/>
          <w:sz w:val="20"/>
          <w:szCs w:val="20"/>
        </w:rPr>
        <w:t xml:space="preserve">. </w:t>
      </w:r>
    </w:p>
    <w:p w:rsidR="00D97431" w:rsidRPr="00D97431" w:rsidRDefault="00D97431" w:rsidP="00D97431">
      <w:pPr>
        <w:shd w:val="clear" w:color="auto" w:fill="FFFFFF"/>
        <w:spacing w:before="100" w:beforeAutospacing="1" w:after="100" w:afterAutospacing="1"/>
        <w:rPr>
          <w:rFonts w:ascii="Verdana" w:hAnsi="Verdana"/>
          <w:color w:val="000000"/>
          <w:sz w:val="20"/>
          <w:szCs w:val="20"/>
        </w:rPr>
      </w:pPr>
      <w:r w:rsidRPr="00D97431">
        <w:rPr>
          <w:rFonts w:ascii="Verdana" w:hAnsi="Verdana"/>
          <w:color w:val="000000"/>
          <w:sz w:val="20"/>
          <w:szCs w:val="20"/>
        </w:rPr>
        <w:t>Bernstein D, Tipodi J. Fulminant hepatic failure. </w:t>
      </w:r>
      <w:r w:rsidRPr="00D97431">
        <w:rPr>
          <w:rFonts w:ascii="Verdana" w:hAnsi="Verdana"/>
          <w:i/>
          <w:iCs/>
          <w:color w:val="000000"/>
          <w:sz w:val="20"/>
          <w:szCs w:val="20"/>
        </w:rPr>
        <w:t>Crit Care Clin</w:t>
      </w:r>
      <w:r w:rsidRPr="00D97431">
        <w:rPr>
          <w:rFonts w:ascii="Verdana" w:hAnsi="Verdana"/>
          <w:color w:val="000000"/>
          <w:sz w:val="20"/>
          <w:szCs w:val="20"/>
        </w:rPr>
        <w:t> 1998; 14: 181-97.    </w:t>
      </w:r>
    </w:p>
    <w:p w:rsidR="00D97431" w:rsidRPr="00D97431" w:rsidRDefault="00D97431" w:rsidP="00D97431"/>
    <w:p w:rsidR="00D97431" w:rsidRPr="00D97431" w:rsidRDefault="00D97431" w:rsidP="00D97431">
      <w:pPr>
        <w:rPr>
          <w:b/>
        </w:rPr>
      </w:pPr>
    </w:p>
    <w:p w:rsidR="00034FEB" w:rsidRPr="00A16661" w:rsidRDefault="00034FEB" w:rsidP="00A16661">
      <w:pPr>
        <w:rPr>
          <w:b/>
        </w:rPr>
      </w:pPr>
    </w:p>
    <w:sectPr w:rsidR="00034FEB" w:rsidRPr="00A16661" w:rsidSect="00F46B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NexusSansPro">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84E10"/>
    <w:multiLevelType w:val="hybridMultilevel"/>
    <w:tmpl w:val="F4B2E94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0F23E15"/>
    <w:multiLevelType w:val="hybridMultilevel"/>
    <w:tmpl w:val="B0680254"/>
    <w:lvl w:ilvl="0" w:tplc="A042A740">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3A65CD8"/>
    <w:multiLevelType w:val="multilevel"/>
    <w:tmpl w:val="18FA84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8FB"/>
    <w:rsid w:val="00034FEB"/>
    <w:rsid w:val="000905D0"/>
    <w:rsid w:val="000E286D"/>
    <w:rsid w:val="001B1C92"/>
    <w:rsid w:val="003D664E"/>
    <w:rsid w:val="003E51E2"/>
    <w:rsid w:val="003F4FBF"/>
    <w:rsid w:val="004675CD"/>
    <w:rsid w:val="004A7103"/>
    <w:rsid w:val="004F3F04"/>
    <w:rsid w:val="007404E5"/>
    <w:rsid w:val="007A1CDD"/>
    <w:rsid w:val="007A3449"/>
    <w:rsid w:val="007B18FB"/>
    <w:rsid w:val="00932858"/>
    <w:rsid w:val="00972B22"/>
    <w:rsid w:val="00A16661"/>
    <w:rsid w:val="00A21F6A"/>
    <w:rsid w:val="00B0316E"/>
    <w:rsid w:val="00B2763C"/>
    <w:rsid w:val="00D97431"/>
    <w:rsid w:val="00EC252F"/>
    <w:rsid w:val="00EC3245"/>
    <w:rsid w:val="00F46BB9"/>
    <w:rsid w:val="00FA4260"/>
    <w:rsid w:val="00FA7582"/>
    <w:rsid w:val="00FD71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6717C"/>
  <w15:docId w15:val="{4B5A3864-65D3-3A43-8DCC-4E876B21D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BB9"/>
    <w:pPr>
      <w:spacing w:after="0" w:line="240" w:lineRule="auto"/>
    </w:pPr>
    <w:rPr>
      <w:rFonts w:ascii="Times New Roman" w:eastAsia="Times New Roman" w:hAnsi="Times New Roman" w:cs="Times New Roman"/>
      <w:sz w:val="24"/>
      <w:szCs w:val="24"/>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B18FB"/>
    <w:rPr>
      <w:rFonts w:ascii="Tahoma" w:hAnsi="Tahoma" w:cs="Tahoma"/>
      <w:sz w:val="16"/>
      <w:szCs w:val="16"/>
    </w:rPr>
  </w:style>
  <w:style w:type="character" w:customStyle="1" w:styleId="TextodegloboCar">
    <w:name w:val="Texto de globo Car"/>
    <w:basedOn w:val="Fuentedeprrafopredeter"/>
    <w:link w:val="Textodeglobo"/>
    <w:uiPriority w:val="99"/>
    <w:semiHidden/>
    <w:rsid w:val="007B18FB"/>
    <w:rPr>
      <w:rFonts w:ascii="Tahoma" w:hAnsi="Tahoma" w:cs="Tahoma"/>
      <w:sz w:val="16"/>
      <w:szCs w:val="16"/>
    </w:rPr>
  </w:style>
  <w:style w:type="paragraph" w:styleId="Prrafodelista">
    <w:name w:val="List Paragraph"/>
    <w:basedOn w:val="Normal"/>
    <w:uiPriority w:val="34"/>
    <w:qFormat/>
    <w:rsid w:val="007B18FB"/>
    <w:pPr>
      <w:ind w:left="720"/>
      <w:contextualSpacing/>
    </w:pPr>
  </w:style>
  <w:style w:type="character" w:customStyle="1" w:styleId="article-title">
    <w:name w:val="article-title"/>
    <w:basedOn w:val="Fuentedeprrafopredeter"/>
    <w:rsid w:val="00972B22"/>
  </w:style>
  <w:style w:type="character" w:styleId="nfasis">
    <w:name w:val="Emphasis"/>
    <w:basedOn w:val="Fuentedeprrafopredeter"/>
    <w:uiPriority w:val="20"/>
    <w:qFormat/>
    <w:rsid w:val="003F4FBF"/>
    <w:rPr>
      <w:i/>
      <w:iCs/>
    </w:rPr>
  </w:style>
  <w:style w:type="character" w:styleId="Textoennegrita">
    <w:name w:val="Strong"/>
    <w:basedOn w:val="Fuentedeprrafopredeter"/>
    <w:uiPriority w:val="22"/>
    <w:qFormat/>
    <w:rsid w:val="003F4FBF"/>
    <w:rPr>
      <w:b/>
      <w:bCs/>
    </w:rPr>
  </w:style>
  <w:style w:type="character" w:customStyle="1" w:styleId="paginas">
    <w:name w:val="paginas"/>
    <w:basedOn w:val="Fuentedeprrafopredeter"/>
    <w:rsid w:val="00A16661"/>
  </w:style>
  <w:style w:type="character" w:customStyle="1" w:styleId="fecha-trans">
    <w:name w:val="fecha-trans"/>
    <w:basedOn w:val="Fuentedeprrafopredeter"/>
    <w:rsid w:val="00A16661"/>
  </w:style>
  <w:style w:type="character" w:customStyle="1" w:styleId="volumen">
    <w:name w:val="volumen"/>
    <w:basedOn w:val="Fuentedeprrafopredeter"/>
    <w:rsid w:val="00A16661"/>
  </w:style>
  <w:style w:type="paragraph" w:styleId="NormalWeb">
    <w:name w:val="Normal (Web)"/>
    <w:basedOn w:val="Normal"/>
    <w:uiPriority w:val="99"/>
    <w:semiHidden/>
    <w:unhideWhenUsed/>
    <w:rsid w:val="00A21F6A"/>
    <w:pPr>
      <w:spacing w:before="100" w:beforeAutospacing="1" w:after="100" w:afterAutospacing="1"/>
    </w:pPr>
  </w:style>
  <w:style w:type="character" w:styleId="Hipervnculo">
    <w:name w:val="Hyperlink"/>
    <w:basedOn w:val="Fuentedeprrafopredeter"/>
    <w:uiPriority w:val="99"/>
    <w:unhideWhenUsed/>
    <w:rsid w:val="007A3449"/>
    <w:rPr>
      <w:color w:val="0000FF"/>
      <w:u w:val="single"/>
    </w:rPr>
  </w:style>
  <w:style w:type="character" w:customStyle="1" w:styleId="elsevieritemreferenciahostrevistalink">
    <w:name w:val="elsevieritemreferenciahostrevistalink"/>
    <w:basedOn w:val="Fuentedeprrafopredeter"/>
    <w:rsid w:val="00EC252F"/>
  </w:style>
  <w:style w:type="character" w:styleId="Mencinsinresolver">
    <w:name w:val="Unresolved Mention"/>
    <w:basedOn w:val="Fuentedeprrafopredeter"/>
    <w:uiPriority w:val="99"/>
    <w:semiHidden/>
    <w:unhideWhenUsed/>
    <w:rsid w:val="00FA7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54248">
      <w:bodyDiv w:val="1"/>
      <w:marLeft w:val="0"/>
      <w:marRight w:val="0"/>
      <w:marTop w:val="0"/>
      <w:marBottom w:val="0"/>
      <w:divBdr>
        <w:top w:val="none" w:sz="0" w:space="0" w:color="auto"/>
        <w:left w:val="none" w:sz="0" w:space="0" w:color="auto"/>
        <w:bottom w:val="none" w:sz="0" w:space="0" w:color="auto"/>
        <w:right w:val="none" w:sz="0" w:space="0" w:color="auto"/>
      </w:divBdr>
    </w:div>
    <w:div w:id="159396646">
      <w:bodyDiv w:val="1"/>
      <w:marLeft w:val="0"/>
      <w:marRight w:val="0"/>
      <w:marTop w:val="0"/>
      <w:marBottom w:val="0"/>
      <w:divBdr>
        <w:top w:val="none" w:sz="0" w:space="0" w:color="auto"/>
        <w:left w:val="none" w:sz="0" w:space="0" w:color="auto"/>
        <w:bottom w:val="none" w:sz="0" w:space="0" w:color="auto"/>
        <w:right w:val="none" w:sz="0" w:space="0" w:color="auto"/>
      </w:divBdr>
    </w:div>
    <w:div w:id="164782646">
      <w:bodyDiv w:val="1"/>
      <w:marLeft w:val="0"/>
      <w:marRight w:val="0"/>
      <w:marTop w:val="0"/>
      <w:marBottom w:val="0"/>
      <w:divBdr>
        <w:top w:val="none" w:sz="0" w:space="0" w:color="auto"/>
        <w:left w:val="none" w:sz="0" w:space="0" w:color="auto"/>
        <w:bottom w:val="none" w:sz="0" w:space="0" w:color="auto"/>
        <w:right w:val="none" w:sz="0" w:space="0" w:color="auto"/>
      </w:divBdr>
    </w:div>
    <w:div w:id="309481471">
      <w:bodyDiv w:val="1"/>
      <w:marLeft w:val="0"/>
      <w:marRight w:val="0"/>
      <w:marTop w:val="0"/>
      <w:marBottom w:val="0"/>
      <w:divBdr>
        <w:top w:val="none" w:sz="0" w:space="0" w:color="auto"/>
        <w:left w:val="none" w:sz="0" w:space="0" w:color="auto"/>
        <w:bottom w:val="none" w:sz="0" w:space="0" w:color="auto"/>
        <w:right w:val="none" w:sz="0" w:space="0" w:color="auto"/>
      </w:divBdr>
    </w:div>
    <w:div w:id="446119329">
      <w:bodyDiv w:val="1"/>
      <w:marLeft w:val="0"/>
      <w:marRight w:val="0"/>
      <w:marTop w:val="0"/>
      <w:marBottom w:val="0"/>
      <w:divBdr>
        <w:top w:val="none" w:sz="0" w:space="0" w:color="auto"/>
        <w:left w:val="none" w:sz="0" w:space="0" w:color="auto"/>
        <w:bottom w:val="none" w:sz="0" w:space="0" w:color="auto"/>
        <w:right w:val="none" w:sz="0" w:space="0" w:color="auto"/>
      </w:divBdr>
    </w:div>
    <w:div w:id="464130516">
      <w:bodyDiv w:val="1"/>
      <w:marLeft w:val="0"/>
      <w:marRight w:val="0"/>
      <w:marTop w:val="0"/>
      <w:marBottom w:val="0"/>
      <w:divBdr>
        <w:top w:val="none" w:sz="0" w:space="0" w:color="auto"/>
        <w:left w:val="none" w:sz="0" w:space="0" w:color="auto"/>
        <w:bottom w:val="none" w:sz="0" w:space="0" w:color="auto"/>
        <w:right w:val="none" w:sz="0" w:space="0" w:color="auto"/>
      </w:divBdr>
    </w:div>
    <w:div w:id="481389118">
      <w:bodyDiv w:val="1"/>
      <w:marLeft w:val="0"/>
      <w:marRight w:val="0"/>
      <w:marTop w:val="0"/>
      <w:marBottom w:val="0"/>
      <w:divBdr>
        <w:top w:val="none" w:sz="0" w:space="0" w:color="auto"/>
        <w:left w:val="none" w:sz="0" w:space="0" w:color="auto"/>
        <w:bottom w:val="none" w:sz="0" w:space="0" w:color="auto"/>
        <w:right w:val="none" w:sz="0" w:space="0" w:color="auto"/>
      </w:divBdr>
    </w:div>
    <w:div w:id="514270218">
      <w:bodyDiv w:val="1"/>
      <w:marLeft w:val="0"/>
      <w:marRight w:val="0"/>
      <w:marTop w:val="0"/>
      <w:marBottom w:val="0"/>
      <w:divBdr>
        <w:top w:val="none" w:sz="0" w:space="0" w:color="auto"/>
        <w:left w:val="none" w:sz="0" w:space="0" w:color="auto"/>
        <w:bottom w:val="none" w:sz="0" w:space="0" w:color="auto"/>
        <w:right w:val="none" w:sz="0" w:space="0" w:color="auto"/>
      </w:divBdr>
    </w:div>
    <w:div w:id="517305983">
      <w:bodyDiv w:val="1"/>
      <w:marLeft w:val="0"/>
      <w:marRight w:val="0"/>
      <w:marTop w:val="0"/>
      <w:marBottom w:val="0"/>
      <w:divBdr>
        <w:top w:val="none" w:sz="0" w:space="0" w:color="auto"/>
        <w:left w:val="none" w:sz="0" w:space="0" w:color="auto"/>
        <w:bottom w:val="none" w:sz="0" w:space="0" w:color="auto"/>
        <w:right w:val="none" w:sz="0" w:space="0" w:color="auto"/>
      </w:divBdr>
      <w:divsChild>
        <w:div w:id="1331064501">
          <w:marLeft w:val="0"/>
          <w:marRight w:val="0"/>
          <w:marTop w:val="150"/>
          <w:marBottom w:val="0"/>
          <w:divBdr>
            <w:top w:val="none" w:sz="0" w:space="0" w:color="auto"/>
            <w:left w:val="none" w:sz="0" w:space="0" w:color="auto"/>
            <w:bottom w:val="none" w:sz="0" w:space="0" w:color="auto"/>
            <w:right w:val="none" w:sz="0" w:space="0" w:color="auto"/>
          </w:divBdr>
          <w:divsChild>
            <w:div w:id="378088093">
              <w:marLeft w:val="600"/>
              <w:marRight w:val="0"/>
              <w:marTop w:val="0"/>
              <w:marBottom w:val="0"/>
              <w:divBdr>
                <w:top w:val="none" w:sz="0" w:space="0" w:color="auto"/>
                <w:left w:val="none" w:sz="0" w:space="0" w:color="auto"/>
                <w:bottom w:val="none" w:sz="0" w:space="0" w:color="auto"/>
                <w:right w:val="none" w:sz="0" w:space="0" w:color="auto"/>
              </w:divBdr>
            </w:div>
          </w:divsChild>
        </w:div>
        <w:div w:id="2082752568">
          <w:marLeft w:val="0"/>
          <w:marRight w:val="0"/>
          <w:marTop w:val="150"/>
          <w:marBottom w:val="0"/>
          <w:divBdr>
            <w:top w:val="none" w:sz="0" w:space="0" w:color="auto"/>
            <w:left w:val="none" w:sz="0" w:space="0" w:color="auto"/>
            <w:bottom w:val="none" w:sz="0" w:space="0" w:color="auto"/>
            <w:right w:val="none" w:sz="0" w:space="0" w:color="auto"/>
          </w:divBdr>
          <w:divsChild>
            <w:div w:id="11964313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0524101">
      <w:bodyDiv w:val="1"/>
      <w:marLeft w:val="0"/>
      <w:marRight w:val="0"/>
      <w:marTop w:val="0"/>
      <w:marBottom w:val="0"/>
      <w:divBdr>
        <w:top w:val="none" w:sz="0" w:space="0" w:color="auto"/>
        <w:left w:val="none" w:sz="0" w:space="0" w:color="auto"/>
        <w:bottom w:val="none" w:sz="0" w:space="0" w:color="auto"/>
        <w:right w:val="none" w:sz="0" w:space="0" w:color="auto"/>
      </w:divBdr>
    </w:div>
    <w:div w:id="636766077">
      <w:bodyDiv w:val="1"/>
      <w:marLeft w:val="0"/>
      <w:marRight w:val="0"/>
      <w:marTop w:val="0"/>
      <w:marBottom w:val="0"/>
      <w:divBdr>
        <w:top w:val="none" w:sz="0" w:space="0" w:color="auto"/>
        <w:left w:val="none" w:sz="0" w:space="0" w:color="auto"/>
        <w:bottom w:val="none" w:sz="0" w:space="0" w:color="auto"/>
        <w:right w:val="none" w:sz="0" w:space="0" w:color="auto"/>
      </w:divBdr>
      <w:divsChild>
        <w:div w:id="1587575698">
          <w:marLeft w:val="0"/>
          <w:marRight w:val="0"/>
          <w:marTop w:val="0"/>
          <w:marBottom w:val="0"/>
          <w:divBdr>
            <w:top w:val="none" w:sz="0" w:space="0" w:color="auto"/>
            <w:left w:val="none" w:sz="0" w:space="0" w:color="auto"/>
            <w:bottom w:val="none" w:sz="0" w:space="0" w:color="auto"/>
            <w:right w:val="none" w:sz="0" w:space="0" w:color="auto"/>
          </w:divBdr>
          <w:divsChild>
            <w:div w:id="1343318818">
              <w:marLeft w:val="0"/>
              <w:marRight w:val="0"/>
              <w:marTop w:val="0"/>
              <w:marBottom w:val="0"/>
              <w:divBdr>
                <w:top w:val="none" w:sz="0" w:space="0" w:color="auto"/>
                <w:left w:val="none" w:sz="0" w:space="0" w:color="auto"/>
                <w:bottom w:val="none" w:sz="0" w:space="0" w:color="auto"/>
                <w:right w:val="none" w:sz="0" w:space="0" w:color="auto"/>
              </w:divBdr>
            </w:div>
            <w:div w:id="756554646">
              <w:marLeft w:val="0"/>
              <w:marRight w:val="0"/>
              <w:marTop w:val="0"/>
              <w:marBottom w:val="0"/>
              <w:divBdr>
                <w:top w:val="none" w:sz="0" w:space="0" w:color="auto"/>
                <w:left w:val="none" w:sz="0" w:space="0" w:color="auto"/>
                <w:bottom w:val="none" w:sz="0" w:space="0" w:color="auto"/>
                <w:right w:val="none" w:sz="0" w:space="0" w:color="auto"/>
              </w:divBdr>
            </w:div>
          </w:divsChild>
        </w:div>
        <w:div w:id="316766511">
          <w:marLeft w:val="0"/>
          <w:marRight w:val="0"/>
          <w:marTop w:val="0"/>
          <w:marBottom w:val="0"/>
          <w:divBdr>
            <w:top w:val="none" w:sz="0" w:space="0" w:color="auto"/>
            <w:left w:val="none" w:sz="0" w:space="0" w:color="auto"/>
            <w:bottom w:val="none" w:sz="0" w:space="0" w:color="auto"/>
            <w:right w:val="none" w:sz="0" w:space="0" w:color="auto"/>
          </w:divBdr>
          <w:divsChild>
            <w:div w:id="123813626">
              <w:marLeft w:val="0"/>
              <w:marRight w:val="0"/>
              <w:marTop w:val="0"/>
              <w:marBottom w:val="0"/>
              <w:divBdr>
                <w:top w:val="none" w:sz="0" w:space="0" w:color="auto"/>
                <w:left w:val="none" w:sz="0" w:space="0" w:color="auto"/>
                <w:bottom w:val="none" w:sz="0" w:space="0" w:color="auto"/>
                <w:right w:val="none" w:sz="0" w:space="0" w:color="auto"/>
              </w:divBdr>
              <w:divsChild>
                <w:div w:id="11885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804969">
      <w:bodyDiv w:val="1"/>
      <w:marLeft w:val="0"/>
      <w:marRight w:val="0"/>
      <w:marTop w:val="0"/>
      <w:marBottom w:val="0"/>
      <w:divBdr>
        <w:top w:val="none" w:sz="0" w:space="0" w:color="auto"/>
        <w:left w:val="none" w:sz="0" w:space="0" w:color="auto"/>
        <w:bottom w:val="none" w:sz="0" w:space="0" w:color="auto"/>
        <w:right w:val="none" w:sz="0" w:space="0" w:color="auto"/>
      </w:divBdr>
      <w:divsChild>
        <w:div w:id="414013217">
          <w:marLeft w:val="0"/>
          <w:marRight w:val="0"/>
          <w:marTop w:val="0"/>
          <w:marBottom w:val="0"/>
          <w:divBdr>
            <w:top w:val="none" w:sz="0" w:space="0" w:color="auto"/>
            <w:left w:val="none" w:sz="0" w:space="0" w:color="auto"/>
            <w:bottom w:val="none" w:sz="0" w:space="0" w:color="auto"/>
            <w:right w:val="none" w:sz="0" w:space="0" w:color="auto"/>
          </w:divBdr>
          <w:divsChild>
            <w:div w:id="472869174">
              <w:marLeft w:val="0"/>
              <w:marRight w:val="0"/>
              <w:marTop w:val="0"/>
              <w:marBottom w:val="0"/>
              <w:divBdr>
                <w:top w:val="none" w:sz="0" w:space="0" w:color="auto"/>
                <w:left w:val="none" w:sz="0" w:space="0" w:color="auto"/>
                <w:bottom w:val="none" w:sz="0" w:space="0" w:color="auto"/>
                <w:right w:val="none" w:sz="0" w:space="0" w:color="auto"/>
              </w:divBdr>
            </w:div>
            <w:div w:id="1743480973">
              <w:marLeft w:val="0"/>
              <w:marRight w:val="0"/>
              <w:marTop w:val="0"/>
              <w:marBottom w:val="0"/>
              <w:divBdr>
                <w:top w:val="none" w:sz="0" w:space="0" w:color="auto"/>
                <w:left w:val="none" w:sz="0" w:space="0" w:color="auto"/>
                <w:bottom w:val="none" w:sz="0" w:space="0" w:color="auto"/>
                <w:right w:val="none" w:sz="0" w:space="0" w:color="auto"/>
              </w:divBdr>
            </w:div>
          </w:divsChild>
        </w:div>
        <w:div w:id="1048184220">
          <w:marLeft w:val="0"/>
          <w:marRight w:val="0"/>
          <w:marTop w:val="0"/>
          <w:marBottom w:val="0"/>
          <w:divBdr>
            <w:top w:val="none" w:sz="0" w:space="0" w:color="auto"/>
            <w:left w:val="none" w:sz="0" w:space="0" w:color="auto"/>
            <w:bottom w:val="none" w:sz="0" w:space="0" w:color="auto"/>
            <w:right w:val="none" w:sz="0" w:space="0" w:color="auto"/>
          </w:divBdr>
          <w:divsChild>
            <w:div w:id="1917125617">
              <w:marLeft w:val="0"/>
              <w:marRight w:val="0"/>
              <w:marTop w:val="0"/>
              <w:marBottom w:val="0"/>
              <w:divBdr>
                <w:top w:val="none" w:sz="0" w:space="0" w:color="auto"/>
                <w:left w:val="none" w:sz="0" w:space="0" w:color="auto"/>
                <w:bottom w:val="none" w:sz="0" w:space="0" w:color="auto"/>
                <w:right w:val="none" w:sz="0" w:space="0" w:color="auto"/>
              </w:divBdr>
              <w:divsChild>
                <w:div w:id="9575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10037">
      <w:bodyDiv w:val="1"/>
      <w:marLeft w:val="0"/>
      <w:marRight w:val="0"/>
      <w:marTop w:val="0"/>
      <w:marBottom w:val="0"/>
      <w:divBdr>
        <w:top w:val="none" w:sz="0" w:space="0" w:color="auto"/>
        <w:left w:val="none" w:sz="0" w:space="0" w:color="auto"/>
        <w:bottom w:val="none" w:sz="0" w:space="0" w:color="auto"/>
        <w:right w:val="none" w:sz="0" w:space="0" w:color="auto"/>
      </w:divBdr>
    </w:div>
    <w:div w:id="1169247932">
      <w:bodyDiv w:val="1"/>
      <w:marLeft w:val="0"/>
      <w:marRight w:val="0"/>
      <w:marTop w:val="0"/>
      <w:marBottom w:val="0"/>
      <w:divBdr>
        <w:top w:val="none" w:sz="0" w:space="0" w:color="auto"/>
        <w:left w:val="none" w:sz="0" w:space="0" w:color="auto"/>
        <w:bottom w:val="none" w:sz="0" w:space="0" w:color="auto"/>
        <w:right w:val="none" w:sz="0" w:space="0" w:color="auto"/>
      </w:divBdr>
    </w:div>
    <w:div w:id="1206405340">
      <w:bodyDiv w:val="1"/>
      <w:marLeft w:val="0"/>
      <w:marRight w:val="0"/>
      <w:marTop w:val="0"/>
      <w:marBottom w:val="0"/>
      <w:divBdr>
        <w:top w:val="none" w:sz="0" w:space="0" w:color="auto"/>
        <w:left w:val="none" w:sz="0" w:space="0" w:color="auto"/>
        <w:bottom w:val="none" w:sz="0" w:space="0" w:color="auto"/>
        <w:right w:val="none" w:sz="0" w:space="0" w:color="auto"/>
      </w:divBdr>
      <w:divsChild>
        <w:div w:id="126897649">
          <w:marLeft w:val="0"/>
          <w:marRight w:val="0"/>
          <w:marTop w:val="75"/>
          <w:marBottom w:val="0"/>
          <w:divBdr>
            <w:top w:val="none" w:sz="0" w:space="0" w:color="auto"/>
            <w:left w:val="none" w:sz="0" w:space="0" w:color="auto"/>
            <w:bottom w:val="none" w:sz="0" w:space="0" w:color="auto"/>
            <w:right w:val="none" w:sz="0" w:space="0" w:color="auto"/>
          </w:divBdr>
        </w:div>
      </w:divsChild>
    </w:div>
    <w:div w:id="1285768558">
      <w:bodyDiv w:val="1"/>
      <w:marLeft w:val="0"/>
      <w:marRight w:val="0"/>
      <w:marTop w:val="0"/>
      <w:marBottom w:val="0"/>
      <w:divBdr>
        <w:top w:val="none" w:sz="0" w:space="0" w:color="auto"/>
        <w:left w:val="none" w:sz="0" w:space="0" w:color="auto"/>
        <w:bottom w:val="none" w:sz="0" w:space="0" w:color="auto"/>
        <w:right w:val="none" w:sz="0" w:space="0" w:color="auto"/>
      </w:divBdr>
    </w:div>
    <w:div w:id="1433818822">
      <w:bodyDiv w:val="1"/>
      <w:marLeft w:val="0"/>
      <w:marRight w:val="0"/>
      <w:marTop w:val="0"/>
      <w:marBottom w:val="0"/>
      <w:divBdr>
        <w:top w:val="none" w:sz="0" w:space="0" w:color="auto"/>
        <w:left w:val="none" w:sz="0" w:space="0" w:color="auto"/>
        <w:bottom w:val="none" w:sz="0" w:space="0" w:color="auto"/>
        <w:right w:val="none" w:sz="0" w:space="0" w:color="auto"/>
      </w:divBdr>
    </w:div>
    <w:div w:id="1532379502">
      <w:bodyDiv w:val="1"/>
      <w:marLeft w:val="0"/>
      <w:marRight w:val="0"/>
      <w:marTop w:val="0"/>
      <w:marBottom w:val="0"/>
      <w:divBdr>
        <w:top w:val="none" w:sz="0" w:space="0" w:color="auto"/>
        <w:left w:val="none" w:sz="0" w:space="0" w:color="auto"/>
        <w:bottom w:val="none" w:sz="0" w:space="0" w:color="auto"/>
        <w:right w:val="none" w:sz="0" w:space="0" w:color="auto"/>
      </w:divBdr>
    </w:div>
    <w:div w:id="1882589492">
      <w:bodyDiv w:val="1"/>
      <w:marLeft w:val="0"/>
      <w:marRight w:val="0"/>
      <w:marTop w:val="0"/>
      <w:marBottom w:val="0"/>
      <w:divBdr>
        <w:top w:val="none" w:sz="0" w:space="0" w:color="auto"/>
        <w:left w:val="none" w:sz="0" w:space="0" w:color="auto"/>
        <w:bottom w:val="none" w:sz="0" w:space="0" w:color="auto"/>
        <w:right w:val="none" w:sz="0" w:space="0" w:color="auto"/>
      </w:divBdr>
    </w:div>
    <w:div w:id="1959336968">
      <w:bodyDiv w:val="1"/>
      <w:marLeft w:val="0"/>
      <w:marRight w:val="0"/>
      <w:marTop w:val="0"/>
      <w:marBottom w:val="0"/>
      <w:divBdr>
        <w:top w:val="none" w:sz="0" w:space="0" w:color="auto"/>
        <w:left w:val="none" w:sz="0" w:space="0" w:color="auto"/>
        <w:bottom w:val="none" w:sz="0" w:space="0" w:color="auto"/>
        <w:right w:val="none" w:sz="0" w:space="0" w:color="auto"/>
      </w:divBdr>
    </w:div>
    <w:div w:id="2033066121">
      <w:bodyDiv w:val="1"/>
      <w:marLeft w:val="0"/>
      <w:marRight w:val="0"/>
      <w:marTop w:val="0"/>
      <w:marBottom w:val="0"/>
      <w:divBdr>
        <w:top w:val="none" w:sz="0" w:space="0" w:color="auto"/>
        <w:left w:val="none" w:sz="0" w:space="0" w:color="auto"/>
        <w:bottom w:val="none" w:sz="0" w:space="0" w:color="auto"/>
        <w:right w:val="none" w:sz="0" w:space="0" w:color="auto"/>
      </w:divBdr>
    </w:div>
    <w:div w:id="213925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javascript:void(0);" TargetMode="External"/><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s://www.elsevier.es/es-revista-cirugia-espanola-36-sumario-vol-84-num-1-X0009739X08X68600" TargetMode="External"/><Relationship Id="rId20" Type="http://schemas.openxmlformats.org/officeDocument/2006/relationships/image" Target="media/image14.png"/><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20</Pages>
  <Words>1524</Words>
  <Characters>8384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JMU</dc:creator>
  <cp:lastModifiedBy>Balita ortiz jara</cp:lastModifiedBy>
  <cp:revision>6</cp:revision>
  <dcterms:created xsi:type="dcterms:W3CDTF">2019-10-12T02:54:00Z</dcterms:created>
  <dcterms:modified xsi:type="dcterms:W3CDTF">2019-10-15T00:12:00Z</dcterms:modified>
</cp:coreProperties>
</file>